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仿宋_GB2312"/>
          <w:kern w:val="0"/>
          <w:sz w:val="32"/>
          <w:szCs w:val="32"/>
        </w:rPr>
      </w:pPr>
      <w:r>
        <w:rPr>
          <w:rFonts w:hint="eastAsia" w:ascii="黑体" w:hAnsi="黑体" w:eastAsia="黑体" w:cs="仿宋_GB2312"/>
          <w:kern w:val="0"/>
          <w:sz w:val="32"/>
          <w:szCs w:val="32"/>
        </w:rPr>
        <w:t>附件1</w:t>
      </w:r>
    </w:p>
    <w:p>
      <w:pPr>
        <w:spacing w:line="580" w:lineRule="exact"/>
        <w:jc w:val="center"/>
        <w:rPr>
          <w:rFonts w:ascii="方正小标宋简体" w:hAnsi="仿宋" w:eastAsia="方正小标宋简体" w:cs="仿宋_GB2312"/>
          <w:kern w:val="0"/>
          <w:sz w:val="44"/>
          <w:szCs w:val="44"/>
        </w:rPr>
      </w:pPr>
    </w:p>
    <w:p>
      <w:pPr>
        <w:spacing w:line="580" w:lineRule="exact"/>
        <w:jc w:val="center"/>
        <w:rPr>
          <w:rFonts w:ascii="方正小标宋简体" w:hAnsi="仿宋" w:eastAsia="方正小标宋简体" w:cs="仿宋_GB2312"/>
          <w:kern w:val="0"/>
          <w:sz w:val="44"/>
          <w:szCs w:val="44"/>
        </w:rPr>
      </w:pPr>
    </w:p>
    <w:p>
      <w:pPr>
        <w:spacing w:line="540" w:lineRule="exact"/>
        <w:jc w:val="center"/>
        <w:rPr>
          <w:rFonts w:ascii="方正小标宋简体" w:hAnsi="仿宋" w:eastAsia="方正小标宋简体" w:cs="仿宋_GB2312"/>
          <w:kern w:val="0"/>
          <w:sz w:val="44"/>
          <w:szCs w:val="44"/>
        </w:rPr>
      </w:pPr>
    </w:p>
    <w:p>
      <w:pPr>
        <w:spacing w:line="540" w:lineRule="exact"/>
        <w:jc w:val="center"/>
        <w:rPr>
          <w:rFonts w:ascii="方正小标宋简体" w:hAnsi="仿宋" w:eastAsia="方正小标宋简体" w:cs="仿宋_GB2312"/>
          <w:kern w:val="0"/>
          <w:sz w:val="44"/>
          <w:szCs w:val="44"/>
        </w:rPr>
      </w:pPr>
      <w:bookmarkStart w:id="6" w:name="_GoBack"/>
      <w:r>
        <w:rPr>
          <w:rFonts w:hint="eastAsia" w:ascii="方正小标宋简体" w:hAnsi="仿宋" w:eastAsia="方正小标宋简体" w:cs="仿宋_GB2312"/>
          <w:kern w:val="0"/>
          <w:sz w:val="44"/>
          <w:szCs w:val="44"/>
        </w:rPr>
        <w:t>深圳市教育局关于做好校外培训机构开展线下培训准备和疫情防控工作的通知</w:t>
      </w:r>
    </w:p>
    <w:bookmarkEnd w:id="6"/>
    <w:p>
      <w:pPr>
        <w:spacing w:line="540" w:lineRule="exact"/>
        <w:jc w:val="center"/>
        <w:rPr>
          <w:rFonts w:ascii="方正小标宋简体" w:hAnsi="仿宋" w:eastAsia="方正小标宋简体" w:cs="仿宋_GB2312"/>
          <w:kern w:val="0"/>
          <w:sz w:val="32"/>
          <w:szCs w:val="32"/>
        </w:rPr>
      </w:pPr>
    </w:p>
    <w:p>
      <w:pPr>
        <w:autoSpaceDE w:val="0"/>
        <w:autoSpaceDN w:val="0"/>
        <w:adjustRightInd w:val="0"/>
        <w:spacing w:line="540" w:lineRule="exact"/>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各区（新区、深汕特别合作区）教育行政部门，各相关教育培训机构：</w:t>
      </w:r>
    </w:p>
    <w:p>
      <w:pPr>
        <w:spacing w:line="54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为</w:t>
      </w:r>
      <w:r>
        <w:rPr>
          <w:rFonts w:hint="eastAsia" w:ascii="仿宋_GB2312" w:hAnsi="Times New Roman" w:eastAsia="仿宋_GB2312"/>
          <w:sz w:val="32"/>
          <w:szCs w:val="32"/>
        </w:rPr>
        <w:t>坚决打赢疫情防控人民战争、总体战、阻击战，切实</w:t>
      </w:r>
      <w:r>
        <w:rPr>
          <w:rFonts w:hint="eastAsia" w:ascii="仿宋_GB2312" w:eastAsia="仿宋_GB2312" w:cs="仿宋_GB2312"/>
          <w:kern w:val="0"/>
          <w:sz w:val="32"/>
          <w:szCs w:val="32"/>
        </w:rPr>
        <w:t>保障师生员工生命安全和身体健康，确保我市校外培训机构（指市、区教育部门备案管理的教育培训机构）线下培训顺利进行，根</w:t>
      </w:r>
      <w:r>
        <w:rPr>
          <w:rFonts w:hint="eastAsia" w:ascii="仿宋_GB2312" w:hAnsi="仿宋" w:eastAsia="仿宋_GB2312" w:cs="仿宋_GB2312"/>
          <w:kern w:val="0"/>
          <w:sz w:val="32"/>
          <w:szCs w:val="32"/>
        </w:rPr>
        <w:t>据教育部、省教育厅和市委市政府工作部署，现就做好线下培训准备和疫情防控工作通知如下：</w:t>
      </w:r>
    </w:p>
    <w:p>
      <w:pPr>
        <w:autoSpaceDE w:val="0"/>
        <w:autoSpaceDN w:val="0"/>
        <w:adjustRightInd w:val="0"/>
        <w:spacing w:line="540" w:lineRule="exact"/>
        <w:ind w:firstLine="640" w:firstLineChars="200"/>
        <w:jc w:val="left"/>
        <w:rPr>
          <w:rFonts w:ascii="黑体" w:eastAsia="黑体" w:cs="黑体"/>
          <w:kern w:val="0"/>
          <w:sz w:val="32"/>
          <w:szCs w:val="32"/>
        </w:rPr>
      </w:pPr>
      <w:r>
        <w:rPr>
          <w:rFonts w:hint="eastAsia" w:ascii="黑体" w:eastAsia="黑体" w:cs="黑体"/>
          <w:kern w:val="0"/>
          <w:sz w:val="32"/>
          <w:szCs w:val="32"/>
        </w:rPr>
        <w:t>一、总体要求</w:t>
      </w:r>
    </w:p>
    <w:p>
      <w:pPr>
        <w:spacing w:line="540" w:lineRule="exact"/>
        <w:ind w:firstLine="640" w:firstLineChars="200"/>
        <w:rPr>
          <w:rFonts w:ascii="黑体" w:hAnsi="黑体" w:eastAsia="黑体"/>
          <w:sz w:val="32"/>
          <w:szCs w:val="32"/>
        </w:rPr>
      </w:pPr>
      <w:r>
        <w:rPr>
          <w:rFonts w:hint="eastAsia" w:ascii="仿宋_GB2312" w:hAnsi="Times New Roman" w:eastAsia="仿宋_GB2312"/>
          <w:sz w:val="32"/>
          <w:szCs w:val="32"/>
        </w:rPr>
        <w:t>坚持生命安全和身体健康第一，针对新冠肺炎疫情仍需保持高度戒备，并严加防控春季流行性传染病；坚持“外严防输入、内严防反弹”的原则，切实加强对校外培训机构疫情防控，把开展线下培训各项准备工作抓实抓细；坚持底线思维，严防发生聚集性疫情，全力保障线下培训安全。</w:t>
      </w:r>
    </w:p>
    <w:p>
      <w:pPr>
        <w:autoSpaceDE w:val="0"/>
        <w:autoSpaceDN w:val="0"/>
        <w:adjustRightInd w:val="0"/>
        <w:spacing w:line="540" w:lineRule="exact"/>
        <w:ind w:firstLine="640" w:firstLineChars="200"/>
        <w:jc w:val="left"/>
        <w:rPr>
          <w:rFonts w:ascii="黑体" w:eastAsia="黑体" w:cs="黑体"/>
          <w:kern w:val="0"/>
          <w:sz w:val="32"/>
          <w:szCs w:val="32"/>
        </w:rPr>
      </w:pPr>
      <w:r>
        <w:rPr>
          <w:rFonts w:hint="eastAsia" w:ascii="黑体" w:eastAsia="黑体" w:cs="黑体"/>
          <w:kern w:val="0"/>
          <w:sz w:val="32"/>
          <w:szCs w:val="32"/>
        </w:rPr>
        <w:t>二、开展线下培训前准备</w:t>
      </w:r>
    </w:p>
    <w:p>
      <w:pPr>
        <w:autoSpaceDE w:val="0"/>
        <w:autoSpaceDN w:val="0"/>
        <w:adjustRightInd w:val="0"/>
        <w:spacing w:line="540" w:lineRule="exact"/>
        <w:ind w:firstLine="643" w:firstLineChars="200"/>
        <w:jc w:val="left"/>
        <w:rPr>
          <w:rFonts w:ascii="仿宋_GB2312" w:eastAsia="仿宋_GB2312" w:cs="仿宋_GB2312"/>
          <w:kern w:val="0"/>
          <w:sz w:val="32"/>
          <w:szCs w:val="32"/>
        </w:rPr>
      </w:pPr>
      <w:r>
        <w:rPr>
          <w:rFonts w:hint="eastAsia" w:ascii="楷体_GB2312" w:eastAsia="楷体_GB2312" w:cs="楷体_GB2312"/>
          <w:b/>
          <w:kern w:val="0"/>
          <w:sz w:val="32"/>
          <w:szCs w:val="32"/>
        </w:rPr>
        <w:t>（一）落实主体责任。</w:t>
      </w:r>
      <w:r>
        <w:rPr>
          <w:rFonts w:hint="eastAsia" w:ascii="仿宋_GB2312" w:eastAsia="仿宋_GB2312" w:cs="楷体_GB2312"/>
          <w:kern w:val="0"/>
          <w:sz w:val="32"/>
          <w:szCs w:val="32"/>
        </w:rPr>
        <w:t>进一步落实校外培训机构疫情防控属地监管责任，</w:t>
      </w:r>
      <w:r>
        <w:rPr>
          <w:rFonts w:hint="eastAsia" w:ascii="仿宋_GB2312" w:eastAsia="仿宋_GB2312" w:cs="仿宋_GB2312"/>
          <w:kern w:val="0"/>
          <w:sz w:val="32"/>
          <w:szCs w:val="32"/>
        </w:rPr>
        <w:t>明确机构举办者的主体责任，制定疫情防控工作方案、应急预案和各项制度，将责任分解到各部门、岗位和人员，做到</w:t>
      </w:r>
      <w:r>
        <w:rPr>
          <w:rFonts w:hint="eastAsia" w:ascii="仿宋_GB2312" w:hAnsi="Times New Roman" w:eastAsia="仿宋_GB2312"/>
          <w:sz w:val="32"/>
          <w:szCs w:val="32"/>
        </w:rPr>
        <w:t>全员、全过程、全方位周密防控。</w:t>
      </w:r>
    </w:p>
    <w:p>
      <w:pPr>
        <w:spacing w:line="540" w:lineRule="exact"/>
        <w:ind w:left="-15" w:right="4" w:firstLine="643" w:firstLineChars="200"/>
        <w:rPr>
          <w:rFonts w:ascii="Times New Roman" w:hAnsi="Times New Roman" w:eastAsia="仿宋_GB2312" w:cs="Times New Roman"/>
          <w:sz w:val="32"/>
          <w:szCs w:val="32"/>
        </w:rPr>
      </w:pPr>
      <w:r>
        <w:rPr>
          <w:rFonts w:hint="eastAsia" w:ascii="楷体_GB2312" w:eastAsia="楷体_GB2312" w:cs="楷体_GB2312"/>
          <w:b/>
          <w:kern w:val="0"/>
          <w:sz w:val="32"/>
          <w:szCs w:val="32"/>
        </w:rPr>
        <w:t>（二）实施联防联控。</w:t>
      </w:r>
      <w:r>
        <w:rPr>
          <w:rFonts w:hint="eastAsia" w:ascii="仿宋_GB2312" w:eastAsia="仿宋_GB2312" w:cs="楷体_GB2312"/>
          <w:kern w:val="0"/>
          <w:sz w:val="32"/>
          <w:szCs w:val="32"/>
        </w:rPr>
        <w:t>各机构要</w:t>
      </w:r>
      <w:r>
        <w:rPr>
          <w:rFonts w:hint="eastAsia" w:ascii="Times New Roman" w:hAnsi="Times New Roman" w:eastAsia="仿宋_GB2312" w:cs="Times New Roman"/>
          <w:sz w:val="32"/>
          <w:szCs w:val="32"/>
        </w:rPr>
        <w:t>认</w:t>
      </w:r>
      <w:r>
        <w:rPr>
          <w:rFonts w:hint="eastAsia" w:ascii="仿宋_GB2312" w:eastAsia="仿宋_GB2312" w:cs="楷体_GB2312"/>
          <w:kern w:val="0"/>
          <w:sz w:val="32"/>
          <w:szCs w:val="32"/>
        </w:rPr>
        <w:t>真落实</w:t>
      </w:r>
      <w:r>
        <w:rPr>
          <w:rFonts w:hint="eastAsia" w:ascii="仿宋_GB2312" w:eastAsia="仿宋_GB2312" w:cs="仿宋_GB2312"/>
          <w:kern w:val="0"/>
          <w:sz w:val="32"/>
          <w:szCs w:val="32"/>
        </w:rPr>
        <w:t>各项防控措施，</w:t>
      </w:r>
      <w:r>
        <w:rPr>
          <w:rFonts w:hint="eastAsia" w:ascii="Times New Roman" w:hAnsi="Times New Roman" w:eastAsia="仿宋_GB2312" w:cs="Times New Roman"/>
          <w:sz w:val="32"/>
          <w:szCs w:val="32"/>
        </w:rPr>
        <w:t>主动纳入所在社区防控“三位一体”管理，熟悉掌握属地疾控机构、社康中心的联系人及联系方式。</w:t>
      </w:r>
    </w:p>
    <w:p>
      <w:pPr>
        <w:autoSpaceDE w:val="0"/>
        <w:autoSpaceDN w:val="0"/>
        <w:adjustRightInd w:val="0"/>
        <w:spacing w:line="540" w:lineRule="exact"/>
        <w:ind w:firstLine="643" w:firstLineChars="200"/>
        <w:jc w:val="left"/>
        <w:rPr>
          <w:rFonts w:ascii="仿宋_GB2312" w:eastAsia="仿宋_GB2312" w:cs="仿宋_GB2312"/>
          <w:kern w:val="0"/>
          <w:sz w:val="32"/>
          <w:szCs w:val="32"/>
        </w:rPr>
      </w:pPr>
      <w:r>
        <w:rPr>
          <w:rFonts w:hint="eastAsia" w:ascii="楷体_GB2312" w:eastAsia="楷体_GB2312" w:cs="楷体_GB2312"/>
          <w:b/>
          <w:kern w:val="0"/>
          <w:sz w:val="32"/>
          <w:szCs w:val="32"/>
        </w:rPr>
        <w:t>（三）储备充足物资。</w:t>
      </w:r>
      <w:r>
        <w:rPr>
          <w:rFonts w:hint="eastAsia" w:ascii="仿宋_GB2312" w:eastAsia="仿宋_GB2312" w:cs="仿宋_GB2312"/>
          <w:kern w:val="0"/>
          <w:sz w:val="32"/>
          <w:szCs w:val="32"/>
        </w:rPr>
        <w:t>结合机构实际，储备足量口罩、测温仪、消毒液、洗手液、免洗手消毒液等防疫物资，配齐配足饮水、洗手设施。</w:t>
      </w:r>
      <w:r>
        <w:rPr>
          <w:rFonts w:hint="eastAsia" w:ascii="Times New Roman" w:hAnsi="Times New Roman" w:eastAsia="仿宋_GB2312" w:cs="Times New Roman"/>
          <w:sz w:val="32"/>
          <w:szCs w:val="32"/>
        </w:rPr>
        <w:t>加强酒精等消毒物品的存放和使用管理，避免发生安全事故。</w:t>
      </w:r>
    </w:p>
    <w:p>
      <w:pPr>
        <w:autoSpaceDE w:val="0"/>
        <w:autoSpaceDN w:val="0"/>
        <w:adjustRightInd w:val="0"/>
        <w:spacing w:line="540" w:lineRule="exact"/>
        <w:ind w:firstLine="643" w:firstLineChars="200"/>
        <w:rPr>
          <w:rFonts w:ascii="楷体_GB2312" w:eastAsia="楷体_GB2312" w:cs="仿宋_GB2312"/>
          <w:kern w:val="0"/>
          <w:sz w:val="32"/>
          <w:szCs w:val="32"/>
        </w:rPr>
      </w:pPr>
      <w:r>
        <w:rPr>
          <w:rFonts w:hint="eastAsia" w:ascii="楷体_GB2312" w:eastAsia="楷体_GB2312" w:cs="仿宋_GB2312"/>
          <w:b/>
          <w:kern w:val="0"/>
          <w:sz w:val="32"/>
          <w:szCs w:val="32"/>
        </w:rPr>
        <w:t>（四）精准掌握情况。</w:t>
      </w:r>
      <w:r>
        <w:rPr>
          <w:rFonts w:hint="eastAsia" w:ascii="仿宋_GB2312" w:eastAsia="仿宋_GB2312" w:cs="仿宋_GB2312"/>
          <w:kern w:val="0"/>
          <w:sz w:val="32"/>
          <w:szCs w:val="32"/>
        </w:rPr>
        <w:t>精准</w:t>
      </w:r>
      <w:r>
        <w:rPr>
          <w:rFonts w:hint="eastAsia" w:ascii="Times New Roman" w:hAnsi="Times New Roman" w:eastAsia="仿宋_GB2312"/>
          <w:bCs/>
          <w:sz w:val="32"/>
          <w:szCs w:val="32"/>
        </w:rPr>
        <w:t>掌握每位教职员工（含各类后勤、</w:t>
      </w:r>
      <w:r>
        <w:rPr>
          <w:rFonts w:hint="eastAsia" w:ascii="Times New Roman" w:hAnsi="Times New Roman" w:eastAsia="仿宋_GB2312"/>
          <w:sz w:val="32"/>
          <w:szCs w:val="32"/>
        </w:rPr>
        <w:t>安保人员，下同）和学员的居住地、假期出行轨迹及参训前</w:t>
      </w:r>
      <w:r>
        <w:rPr>
          <w:rFonts w:ascii="Times New Roman" w:hAnsi="Times New Roman" w:eastAsia="仿宋_GB2312"/>
          <w:sz w:val="32"/>
          <w:szCs w:val="32"/>
        </w:rPr>
        <w:t>14</w:t>
      </w:r>
      <w:r>
        <w:rPr>
          <w:rFonts w:hint="eastAsia" w:ascii="Times New Roman" w:hAnsi="Times New Roman" w:eastAsia="仿宋_GB2312"/>
          <w:sz w:val="32"/>
          <w:szCs w:val="32"/>
        </w:rPr>
        <w:t>天健康状况，坚决堵塞任何疫情传播漏洞。</w:t>
      </w:r>
      <w:r>
        <w:rPr>
          <w:rFonts w:hint="eastAsia" w:ascii="仿宋_GB2312" w:hAnsi="仿宋" w:eastAsia="仿宋_GB2312" w:cs="仿宋_GB2312"/>
          <w:bCs/>
          <w:kern w:val="0"/>
          <w:sz w:val="32"/>
          <w:szCs w:val="32"/>
        </w:rPr>
        <w:t>根据疫情在国内重点地区和国外发展的形势，密切掌握疫</w:t>
      </w:r>
      <w:r>
        <w:rPr>
          <w:rFonts w:hint="eastAsia" w:ascii="仿宋_GB2312" w:hAnsi="Times New Roman" w:eastAsia="仿宋_GB2312"/>
          <w:sz w:val="32"/>
          <w:szCs w:val="32"/>
        </w:rPr>
        <w:t>情重点地区人员、机构外教及在国外度假师生员工的分布情况、参训前14天的</w:t>
      </w:r>
      <w:r>
        <w:rPr>
          <w:rFonts w:ascii="仿宋_GB2312" w:hAnsi="Times New Roman" w:eastAsia="仿宋_GB2312"/>
          <w:sz w:val="32"/>
          <w:szCs w:val="32"/>
        </w:rPr>
        <w:t>活动</w:t>
      </w:r>
      <w:r>
        <w:rPr>
          <w:rFonts w:hint="eastAsia" w:ascii="仿宋_GB2312" w:hAnsi="Times New Roman" w:eastAsia="仿宋_GB2312"/>
          <w:sz w:val="32"/>
          <w:szCs w:val="32"/>
        </w:rPr>
        <w:t>轨迹和身体健康状况。</w:t>
      </w:r>
      <w:r>
        <w:rPr>
          <w:rFonts w:hint="eastAsia" w:ascii="Times New Roman" w:hAnsi="Times New Roman" w:eastAsia="仿宋_GB2312" w:cs="Times New Roman"/>
          <w:sz w:val="32"/>
          <w:szCs w:val="32"/>
        </w:rPr>
        <w:t>建立“因疫情不能返回人员”健康监测与管理台账。</w:t>
      </w:r>
    </w:p>
    <w:p>
      <w:pPr>
        <w:autoSpaceDE w:val="0"/>
        <w:autoSpaceDN w:val="0"/>
        <w:adjustRightInd w:val="0"/>
        <w:spacing w:line="540" w:lineRule="exact"/>
        <w:ind w:firstLine="643" w:firstLineChars="200"/>
        <w:jc w:val="left"/>
        <w:rPr>
          <w:rFonts w:ascii="仿宋_GB2312" w:eastAsia="仿宋_GB2312" w:cs="仿宋_GB2312"/>
          <w:kern w:val="0"/>
          <w:sz w:val="32"/>
          <w:szCs w:val="32"/>
        </w:rPr>
      </w:pPr>
      <w:r>
        <w:rPr>
          <w:rFonts w:hint="eastAsia" w:ascii="楷体_GB2312" w:eastAsia="楷体_GB2312" w:cs="仿宋_GB2312"/>
          <w:b/>
          <w:kern w:val="0"/>
          <w:sz w:val="32"/>
          <w:szCs w:val="32"/>
        </w:rPr>
        <w:t>（五）设置临时观察区。</w:t>
      </w:r>
      <w:r>
        <w:rPr>
          <w:rFonts w:hint="eastAsia" w:ascii="仿宋_GB2312" w:eastAsia="仿宋_GB2312" w:cs="仿宋_GB2312"/>
          <w:kern w:val="0"/>
          <w:sz w:val="32"/>
          <w:szCs w:val="32"/>
        </w:rPr>
        <w:t>有条件的机构要设置相对独立、通风良好的场所作为临时观察隔离区，用于发热人员转送前的临时隔离。场所设置和隔离要求、转送方法等要接受辖区疾控部门指导。</w:t>
      </w:r>
    </w:p>
    <w:p>
      <w:pPr>
        <w:autoSpaceDE w:val="0"/>
        <w:autoSpaceDN w:val="0"/>
        <w:adjustRightInd w:val="0"/>
        <w:spacing w:line="540" w:lineRule="exact"/>
        <w:ind w:firstLine="643" w:firstLineChars="200"/>
        <w:jc w:val="left"/>
        <w:rPr>
          <w:rFonts w:ascii="仿宋_GB2312" w:eastAsia="仿宋_GB2312" w:cs="仿宋_GB2312"/>
          <w:kern w:val="0"/>
          <w:sz w:val="32"/>
          <w:szCs w:val="32"/>
        </w:rPr>
      </w:pPr>
      <w:r>
        <w:rPr>
          <w:rFonts w:hint="eastAsia" w:ascii="楷体_GB2312" w:eastAsia="楷体_GB2312" w:cs="仿宋_GB2312"/>
          <w:b/>
          <w:kern w:val="0"/>
          <w:sz w:val="32"/>
          <w:szCs w:val="32"/>
        </w:rPr>
        <w:t>（六）实行封闭管理。</w:t>
      </w:r>
      <w:r>
        <w:rPr>
          <w:rFonts w:hint="eastAsia" w:ascii="仿宋_GB2312" w:eastAsia="仿宋_GB2312" w:cs="仿宋_GB2312"/>
          <w:kern w:val="0"/>
          <w:sz w:val="32"/>
          <w:szCs w:val="32"/>
        </w:rPr>
        <w:t>严控无关人员进出，进入机构人员全部进行健康体温检测与健康问询，并</w:t>
      </w:r>
      <w:r>
        <w:rPr>
          <w:rFonts w:hint="eastAsia" w:ascii="Times New Roman" w:hAnsi="Times New Roman" w:eastAsia="仿宋_GB2312" w:cs="Times New Roman"/>
          <w:sz w:val="32"/>
          <w:szCs w:val="32"/>
        </w:rPr>
        <w:t>做好登记、追踪和报告工作。</w:t>
      </w:r>
    </w:p>
    <w:p>
      <w:pPr>
        <w:autoSpaceDE w:val="0"/>
        <w:autoSpaceDN w:val="0"/>
        <w:adjustRightInd w:val="0"/>
        <w:spacing w:line="540" w:lineRule="exact"/>
        <w:ind w:firstLine="643" w:firstLineChars="200"/>
        <w:jc w:val="left"/>
        <w:rPr>
          <w:rFonts w:ascii="仿宋_GB2312" w:eastAsia="仿宋_GB2312" w:cs="仿宋_GB2312"/>
          <w:kern w:val="0"/>
          <w:sz w:val="32"/>
          <w:szCs w:val="32"/>
        </w:rPr>
      </w:pPr>
      <w:r>
        <w:rPr>
          <w:rFonts w:hint="eastAsia" w:ascii="楷体_GB2312" w:eastAsia="楷体_GB2312" w:cs="仿宋_GB2312"/>
          <w:b/>
          <w:kern w:val="0"/>
          <w:sz w:val="32"/>
          <w:szCs w:val="32"/>
        </w:rPr>
        <w:t>（七）做好环境整治。</w:t>
      </w:r>
      <w:r>
        <w:rPr>
          <w:rFonts w:hint="eastAsia" w:ascii="仿宋_GB2312" w:eastAsia="仿宋_GB2312" w:cs="仿宋_GB2312"/>
          <w:kern w:val="0"/>
          <w:sz w:val="32"/>
          <w:szCs w:val="32"/>
        </w:rPr>
        <w:t>增加清洁消毒频次，加大“四害”消杀力度，及时清理卫生死角，保持环境卫生清洁。同时全面做好疫情防控风险及安全隐患排查。</w:t>
      </w:r>
    </w:p>
    <w:p>
      <w:pPr>
        <w:autoSpaceDE w:val="0"/>
        <w:autoSpaceDN w:val="0"/>
        <w:adjustRightInd w:val="0"/>
        <w:spacing w:line="540" w:lineRule="exact"/>
        <w:ind w:firstLine="643" w:firstLineChars="200"/>
        <w:rPr>
          <w:rFonts w:ascii="仿宋_GB2312" w:eastAsia="仿宋_GB2312" w:cs="仿宋_GB2312"/>
          <w:kern w:val="0"/>
          <w:sz w:val="32"/>
          <w:szCs w:val="32"/>
        </w:rPr>
      </w:pPr>
      <w:r>
        <w:rPr>
          <w:rFonts w:hint="eastAsia" w:ascii="楷体_GB2312" w:eastAsia="楷体_GB2312" w:cs="仿宋_GB2312"/>
          <w:b/>
          <w:kern w:val="0"/>
          <w:sz w:val="32"/>
          <w:szCs w:val="32"/>
        </w:rPr>
        <w:t>（八）开展培训演练</w:t>
      </w:r>
      <w:r>
        <w:rPr>
          <w:rFonts w:hint="eastAsia" w:ascii="楷体_GB2312" w:eastAsia="楷体_GB2312" w:cs="仿宋_GB2312"/>
          <w:kern w:val="0"/>
          <w:sz w:val="32"/>
          <w:szCs w:val="32"/>
        </w:rPr>
        <w:t>。</w:t>
      </w:r>
      <w:r>
        <w:rPr>
          <w:rFonts w:hint="eastAsia" w:ascii="仿宋_GB2312" w:eastAsia="仿宋_GB2312" w:cs="仿宋_GB2312"/>
          <w:kern w:val="0"/>
          <w:sz w:val="32"/>
          <w:szCs w:val="32"/>
        </w:rPr>
        <w:t>组织机构员工通过</w:t>
      </w:r>
      <w:r>
        <w:rPr>
          <w:rFonts w:hint="eastAsia" w:ascii="仿宋_GB2312" w:eastAsia="仿宋_GB2312"/>
          <w:sz w:val="32"/>
        </w:rPr>
        <w:t>广东</w:t>
      </w:r>
      <w:r>
        <w:rPr>
          <w:rFonts w:ascii="仿宋_GB2312" w:eastAsia="仿宋_GB2312"/>
          <w:sz w:val="32"/>
        </w:rPr>
        <w:t>教育资源公共服务平台和</w:t>
      </w:r>
      <w:r>
        <w:rPr>
          <w:rFonts w:hint="eastAsia" w:ascii="仿宋_GB2312" w:eastAsia="仿宋_GB2312"/>
          <w:sz w:val="32"/>
        </w:rPr>
        <w:t>深圳</w:t>
      </w:r>
      <w:r>
        <w:rPr>
          <w:rFonts w:hint="eastAsia" w:ascii="Times New Roman" w:hAnsi="Times New Roman" w:eastAsia="仿宋_GB2312"/>
          <w:sz w:val="32"/>
          <w:szCs w:val="32"/>
        </w:rPr>
        <w:t>市教育局门户网站空中课堂</w:t>
      </w:r>
      <w:r>
        <w:rPr>
          <w:rFonts w:ascii="Times New Roman" w:hAnsi="Times New Roman" w:eastAsia="仿宋_GB2312"/>
          <w:sz w:val="32"/>
          <w:szCs w:val="32"/>
        </w:rPr>
        <w:t>卫生与健康栏目</w:t>
      </w:r>
      <w:r>
        <w:rPr>
          <w:rFonts w:hint="eastAsia" w:ascii="Times New Roman" w:hAnsi="Times New Roman" w:eastAsia="仿宋_GB2312"/>
          <w:sz w:val="32"/>
          <w:szCs w:val="32"/>
        </w:rPr>
        <w:t>，学习</w:t>
      </w:r>
      <w:r>
        <w:rPr>
          <w:rFonts w:hint="eastAsia" w:ascii="仿宋_GB2312" w:eastAsia="仿宋_GB2312" w:cs="仿宋_GB2312"/>
          <w:kern w:val="0"/>
          <w:sz w:val="32"/>
          <w:szCs w:val="32"/>
        </w:rPr>
        <w:t>新冠肺炎防控知识及应急处置措施。开展</w:t>
      </w:r>
      <w:r>
        <w:rPr>
          <w:rFonts w:hint="eastAsia" w:ascii="仿宋_GB2312" w:eastAsia="仿宋_GB2312"/>
          <w:sz w:val="32"/>
        </w:rPr>
        <w:t>疫情应急演练、</w:t>
      </w:r>
      <w:r>
        <w:rPr>
          <w:rFonts w:hint="eastAsia" w:ascii="仿宋_GB2312" w:eastAsia="仿宋_GB2312" w:cs="仿宋_GB2312"/>
          <w:kern w:val="0"/>
          <w:sz w:val="32"/>
          <w:szCs w:val="32"/>
        </w:rPr>
        <w:t>学员参训模拟演练，</w:t>
      </w:r>
      <w:r>
        <w:rPr>
          <w:rFonts w:hint="eastAsia" w:ascii="仿宋_GB2312" w:eastAsia="仿宋_GB2312"/>
          <w:sz w:val="32"/>
        </w:rPr>
        <w:t>熟悉处置流程。</w:t>
      </w:r>
      <w:r>
        <w:rPr>
          <w:rFonts w:hint="eastAsia" w:ascii="仿宋_GB2312" w:eastAsia="仿宋_GB2312" w:cs="仿宋_GB2312"/>
          <w:kern w:val="0"/>
          <w:sz w:val="32"/>
          <w:szCs w:val="32"/>
        </w:rPr>
        <w:t>根据演练情况及时调整完善参训方案。</w:t>
      </w:r>
    </w:p>
    <w:p>
      <w:pPr>
        <w:widowControl/>
        <w:spacing w:line="540" w:lineRule="exact"/>
        <w:ind w:right="6" w:firstLine="643" w:firstLineChars="200"/>
        <w:rPr>
          <w:rFonts w:ascii="仿宋_GB2312" w:hAnsi="仿宋" w:eastAsia="仿宋_GB2312" w:cs="仿宋_GB2312"/>
          <w:kern w:val="0"/>
          <w:sz w:val="32"/>
          <w:szCs w:val="32"/>
        </w:rPr>
      </w:pPr>
      <w:r>
        <w:rPr>
          <w:rFonts w:hint="eastAsia" w:ascii="楷体_GB2312" w:hAnsi="Times New Roman" w:eastAsia="楷体_GB2312"/>
          <w:b/>
          <w:sz w:val="32"/>
          <w:szCs w:val="32"/>
        </w:rPr>
        <w:t>（九）组织评估检查。</w:t>
      </w:r>
      <w:r>
        <w:rPr>
          <w:rFonts w:hint="eastAsia" w:ascii="仿宋_GB2312" w:hAnsi="Times New Roman" w:eastAsia="仿宋_GB2312"/>
          <w:sz w:val="32"/>
          <w:szCs w:val="32"/>
        </w:rPr>
        <w:t>本通知下发后，</w:t>
      </w:r>
      <w:r>
        <w:rPr>
          <w:rFonts w:hint="eastAsia" w:ascii="仿宋_GB2312" w:hAnsi="仿宋" w:eastAsia="仿宋_GB2312" w:cs="仿宋_GB2312"/>
          <w:kern w:val="0"/>
          <w:sz w:val="32"/>
          <w:szCs w:val="32"/>
        </w:rPr>
        <w:t>各机构可在准备就绪后向所属区教育行政部门报送《</w:t>
      </w:r>
      <w:r>
        <w:rPr>
          <w:rFonts w:hint="eastAsia" w:ascii="仿宋_GB2312" w:hAnsi="Times New Roman" w:eastAsia="仿宋_GB2312"/>
          <w:bCs/>
          <w:sz w:val="32"/>
          <w:szCs w:val="32"/>
        </w:rPr>
        <w:t>深圳市校外培训机构线下培训疫情防控工作承诺书》</w:t>
      </w:r>
      <w:r>
        <w:rPr>
          <w:rFonts w:hint="eastAsia" w:ascii="仿宋_GB2312" w:hAnsi="仿宋" w:eastAsia="仿宋_GB2312" w:cs="仿宋_GB2312"/>
          <w:kern w:val="0"/>
          <w:sz w:val="32"/>
          <w:szCs w:val="32"/>
        </w:rPr>
        <w:t>（附件3-1）、《</w:t>
      </w:r>
      <w:r>
        <w:rPr>
          <w:rFonts w:hint="eastAsia" w:ascii="仿宋_GB2312" w:hAnsi="Times New Roman" w:eastAsia="仿宋_GB2312"/>
          <w:bCs/>
          <w:sz w:val="32"/>
          <w:szCs w:val="32"/>
        </w:rPr>
        <w:t>深圳市校外培训机构开展线下培训审批表</w:t>
      </w:r>
      <w:r>
        <w:rPr>
          <w:rFonts w:hint="eastAsia" w:ascii="仿宋_GB2312" w:hAnsi="仿宋" w:eastAsia="仿宋_GB2312" w:cs="仿宋_GB2312"/>
          <w:kern w:val="0"/>
          <w:sz w:val="32"/>
          <w:szCs w:val="32"/>
        </w:rPr>
        <w:t>》（附件3-2）。线下培训前一周，市、区教育行政部门将联合卫生健康等部门，对照《</w:t>
      </w:r>
      <w:r>
        <w:rPr>
          <w:rFonts w:hint="eastAsia" w:ascii="仿宋_GB2312" w:hAnsi="Times New Roman" w:eastAsia="仿宋_GB2312"/>
          <w:bCs/>
          <w:sz w:val="32"/>
          <w:szCs w:val="32"/>
        </w:rPr>
        <w:t>深圳市校外培训机构线下培训准备措施自查表</w:t>
      </w:r>
      <w:r>
        <w:rPr>
          <w:rFonts w:hint="eastAsia" w:ascii="仿宋_GB2312" w:hAnsi="仿宋" w:eastAsia="仿宋_GB2312" w:cs="仿宋_GB2312"/>
          <w:kern w:val="0"/>
          <w:sz w:val="32"/>
          <w:szCs w:val="32"/>
        </w:rPr>
        <w:t xml:space="preserve">》（附件3-3），对各机构线下培训准备情况进行评估检查，达标后方可开展线下培训。 </w:t>
      </w:r>
    </w:p>
    <w:p>
      <w:pPr>
        <w:autoSpaceDE w:val="0"/>
        <w:autoSpaceDN w:val="0"/>
        <w:adjustRightInd w:val="0"/>
        <w:spacing w:line="540" w:lineRule="exact"/>
        <w:ind w:firstLine="640" w:firstLineChars="200"/>
        <w:jc w:val="left"/>
        <w:rPr>
          <w:rFonts w:ascii="黑体" w:eastAsia="黑体" w:cs="黑体"/>
          <w:kern w:val="0"/>
          <w:sz w:val="32"/>
          <w:szCs w:val="32"/>
        </w:rPr>
      </w:pPr>
      <w:r>
        <w:rPr>
          <w:rFonts w:hint="eastAsia" w:ascii="黑体" w:eastAsia="黑体" w:cs="黑体"/>
          <w:kern w:val="0"/>
          <w:sz w:val="32"/>
          <w:szCs w:val="32"/>
        </w:rPr>
        <w:t>三、开展线下培训时措施</w:t>
      </w:r>
    </w:p>
    <w:p>
      <w:pPr>
        <w:autoSpaceDE w:val="0"/>
        <w:autoSpaceDN w:val="0"/>
        <w:adjustRightInd w:val="0"/>
        <w:spacing w:line="540" w:lineRule="exact"/>
        <w:ind w:firstLine="643" w:firstLineChars="200"/>
        <w:jc w:val="left"/>
        <w:rPr>
          <w:rFonts w:ascii="仿宋_GB2312" w:eastAsia="仿宋_GB2312" w:cs="仿宋_GB2312"/>
          <w:kern w:val="0"/>
          <w:sz w:val="32"/>
          <w:szCs w:val="32"/>
        </w:rPr>
      </w:pPr>
      <w:r>
        <w:rPr>
          <w:rFonts w:hint="eastAsia" w:ascii="楷体_GB2312" w:eastAsia="楷体_GB2312" w:cs="仿宋_GB2312"/>
          <w:b/>
          <w:kern w:val="0"/>
          <w:sz w:val="32"/>
          <w:szCs w:val="32"/>
        </w:rPr>
        <w:t>（一）制定线下培训方案。</w:t>
      </w:r>
      <w:r>
        <w:rPr>
          <w:rFonts w:hint="eastAsia" w:ascii="仿宋_GB2312" w:eastAsia="仿宋_GB2312" w:cs="仿宋_GB2312"/>
          <w:kern w:val="0"/>
          <w:sz w:val="32"/>
          <w:szCs w:val="32"/>
        </w:rPr>
        <w:t>按照国家和省、市规定，中小学全面复课后，培训机构才能开展线下培训活动。具体开展线下培训时间，由市教育局发布。严禁提前开展线下培训。各机构提前一星期制定线下培训工作方案，按隶属关系报市、区教育行政部门备案。</w:t>
      </w:r>
    </w:p>
    <w:p>
      <w:pPr>
        <w:spacing w:line="540" w:lineRule="exact"/>
        <w:ind w:left="-15" w:right="4" w:firstLine="643" w:firstLineChars="200"/>
        <w:rPr>
          <w:rFonts w:ascii="楷体_GB2312" w:hAnsi="仿宋" w:eastAsia="楷体_GB2312" w:cs="仿宋_GB2312"/>
          <w:b/>
          <w:bCs/>
          <w:kern w:val="0"/>
          <w:sz w:val="32"/>
          <w:szCs w:val="32"/>
        </w:rPr>
      </w:pPr>
      <w:r>
        <w:rPr>
          <w:rFonts w:hint="eastAsia" w:ascii="楷体_GB2312" w:hAnsi="仿宋" w:eastAsia="楷体_GB2312" w:cs="仿宋_GB2312"/>
          <w:b/>
          <w:bCs/>
          <w:kern w:val="0"/>
          <w:sz w:val="32"/>
          <w:szCs w:val="32"/>
        </w:rPr>
        <w:t>（二）确定复工（参训）人员名单。</w:t>
      </w:r>
      <w:r>
        <w:rPr>
          <w:rFonts w:hint="eastAsia" w:ascii="Times New Roman" w:hAnsi="Times New Roman" w:eastAsia="仿宋_GB2312"/>
          <w:sz w:val="32"/>
          <w:szCs w:val="32"/>
        </w:rPr>
        <w:t>各机构应根据《</w:t>
      </w:r>
      <w:r>
        <w:rPr>
          <w:rFonts w:hint="eastAsia" w:ascii="仿宋_GB2312" w:hAnsi="黑体" w:eastAsia="仿宋_GB2312" w:cs="Times New Roman"/>
          <w:sz w:val="32"/>
          <w:szCs w:val="32"/>
        </w:rPr>
        <w:t>教职员工和学员健康信息申报卡》（附件3-4）要求，</w:t>
      </w:r>
      <w:r>
        <w:rPr>
          <w:rFonts w:hint="eastAsia" w:ascii="Times New Roman" w:hAnsi="Times New Roman" w:eastAsia="仿宋_GB2312"/>
          <w:sz w:val="32"/>
          <w:szCs w:val="32"/>
        </w:rPr>
        <w:t>在开展线下培训前</w:t>
      </w:r>
      <w:r>
        <w:rPr>
          <w:rFonts w:ascii="Times New Roman" w:hAnsi="Times New Roman" w:eastAsia="仿宋_GB2312"/>
          <w:sz w:val="32"/>
          <w:szCs w:val="32"/>
        </w:rPr>
        <w:t>2</w:t>
      </w:r>
      <w:r>
        <w:rPr>
          <w:rFonts w:hint="eastAsia" w:ascii="Times New Roman" w:hAnsi="Times New Roman" w:eastAsia="仿宋_GB2312"/>
          <w:sz w:val="32"/>
          <w:szCs w:val="32"/>
        </w:rPr>
        <w:t>天收集所有员工（含学员）健康信息申报卡，确定符合复工（参训）要求的人员名单，并报教育行政部门备案。不符合条件的员工（学员），要求其暂不返回机构。</w:t>
      </w:r>
    </w:p>
    <w:p>
      <w:pPr>
        <w:autoSpaceDE w:val="0"/>
        <w:autoSpaceDN w:val="0"/>
        <w:adjustRightInd w:val="0"/>
        <w:spacing w:line="540" w:lineRule="exact"/>
        <w:ind w:firstLine="643" w:firstLineChars="200"/>
        <w:jc w:val="left"/>
        <w:rPr>
          <w:rFonts w:ascii="仿宋_GB2312" w:eastAsia="仿宋_GB2312" w:cs="仿宋_GB2312"/>
          <w:kern w:val="0"/>
          <w:sz w:val="32"/>
          <w:szCs w:val="32"/>
        </w:rPr>
      </w:pPr>
      <w:r>
        <w:rPr>
          <w:rFonts w:hint="eastAsia" w:ascii="楷体_GB2312" w:eastAsia="楷体_GB2312" w:cs="仿宋_GB2312"/>
          <w:b/>
          <w:kern w:val="0"/>
          <w:sz w:val="32"/>
          <w:szCs w:val="32"/>
        </w:rPr>
        <w:t>（三）实施错时错班培训。</w:t>
      </w:r>
      <w:r>
        <w:rPr>
          <w:rFonts w:hint="eastAsia" w:ascii="仿宋_GB2312" w:eastAsia="仿宋_GB2312" w:cs="仿宋_GB2312"/>
          <w:kern w:val="0"/>
          <w:sz w:val="32"/>
          <w:szCs w:val="32"/>
        </w:rPr>
        <w:t>要根据不同年级、层次、班级做好错时线下培训安排，每批（班）次培训学员要留足时间间隔，确保各批（班）次人员不聚集、不交叉。</w:t>
      </w:r>
    </w:p>
    <w:p>
      <w:pPr>
        <w:autoSpaceDE w:val="0"/>
        <w:autoSpaceDN w:val="0"/>
        <w:adjustRightInd w:val="0"/>
        <w:spacing w:line="540" w:lineRule="exact"/>
        <w:ind w:firstLine="643" w:firstLineChars="200"/>
        <w:jc w:val="left"/>
        <w:rPr>
          <w:rFonts w:ascii="仿宋_GB2312" w:eastAsia="仿宋_GB2312" w:cs="仿宋_GB2312"/>
          <w:kern w:val="0"/>
          <w:sz w:val="32"/>
          <w:szCs w:val="32"/>
        </w:rPr>
      </w:pPr>
      <w:r>
        <w:rPr>
          <w:rFonts w:hint="eastAsia" w:ascii="楷体_GB2312" w:eastAsia="楷体_GB2312" w:cs="仿宋_GB2312"/>
          <w:b/>
          <w:kern w:val="0"/>
          <w:sz w:val="32"/>
          <w:szCs w:val="32"/>
        </w:rPr>
        <w:t>（四）切实做好入口管理。</w:t>
      </w:r>
      <w:r>
        <w:rPr>
          <w:rFonts w:hint="eastAsia" w:ascii="仿宋_GB2312" w:eastAsia="仿宋_GB2312" w:cs="仿宋_GB2312"/>
          <w:kern w:val="0"/>
          <w:sz w:val="32"/>
          <w:szCs w:val="32"/>
        </w:rPr>
        <w:t>机构入口要配备足够体温检测人员，确保学员即来即测即进。机构员工引导学员迅速进入教室。上下楼尽量行走楼梯（乘坐电梯要限制乘员人数）。学员课前先洗手（可使用免洗手消液）。家长不得进入机构教学区、休息区聚集逗留。</w:t>
      </w:r>
    </w:p>
    <w:p>
      <w:pPr>
        <w:autoSpaceDE w:val="0"/>
        <w:autoSpaceDN w:val="0"/>
        <w:adjustRightInd w:val="0"/>
        <w:spacing w:line="540" w:lineRule="exact"/>
        <w:ind w:firstLine="643" w:firstLineChars="200"/>
        <w:jc w:val="left"/>
        <w:rPr>
          <w:rFonts w:ascii="仿宋_GB2312" w:eastAsia="仿宋_GB2312" w:cs="仿宋_GB2312"/>
          <w:kern w:val="0"/>
          <w:sz w:val="32"/>
          <w:szCs w:val="32"/>
        </w:rPr>
      </w:pPr>
      <w:r>
        <w:rPr>
          <w:rFonts w:hint="eastAsia" w:ascii="楷体_GB2312" w:eastAsia="楷体_GB2312" w:cs="仿宋_GB2312"/>
          <w:b/>
          <w:kern w:val="0"/>
          <w:sz w:val="32"/>
          <w:szCs w:val="32"/>
        </w:rPr>
        <w:t>（五）保持室内通风换气。</w:t>
      </w:r>
      <w:r>
        <w:rPr>
          <w:rFonts w:hint="eastAsia" w:ascii="仿宋_GB2312" w:eastAsia="仿宋_GB2312" w:cs="仿宋_GB2312"/>
          <w:kern w:val="0"/>
          <w:sz w:val="32"/>
          <w:szCs w:val="32"/>
        </w:rPr>
        <w:t>做好工作场所（如教室、办公室、休息室、公共活动区等）通风换气，确保排气扇运转正常。做好空调通风系统的清洁保养，</w:t>
      </w:r>
      <w:r>
        <w:rPr>
          <w:rFonts w:hint="eastAsia" w:ascii="Times New Roman" w:hAnsi="Times New Roman" w:eastAsia="仿宋_GB2312" w:cs="Times New Roman"/>
          <w:sz w:val="32"/>
          <w:szCs w:val="32"/>
        </w:rPr>
        <w:t>疫情解除前停止使用集中空调通风系统。</w:t>
      </w:r>
    </w:p>
    <w:p>
      <w:pPr>
        <w:autoSpaceDE w:val="0"/>
        <w:autoSpaceDN w:val="0"/>
        <w:adjustRightInd w:val="0"/>
        <w:spacing w:line="540" w:lineRule="exact"/>
        <w:ind w:firstLine="643" w:firstLineChars="200"/>
        <w:jc w:val="left"/>
        <w:rPr>
          <w:rFonts w:ascii="楷体_GB2312" w:eastAsia="楷体_GB2312" w:cs="仿宋_GB2312"/>
          <w:kern w:val="0"/>
          <w:sz w:val="32"/>
          <w:szCs w:val="32"/>
        </w:rPr>
      </w:pPr>
      <w:r>
        <w:rPr>
          <w:rFonts w:hint="eastAsia" w:ascii="楷体_GB2312" w:eastAsia="楷体_GB2312" w:cs="仿宋_GB2312"/>
          <w:b/>
          <w:kern w:val="0"/>
          <w:sz w:val="32"/>
          <w:szCs w:val="32"/>
        </w:rPr>
        <w:t>（六）实行单人单行单桌上课。</w:t>
      </w:r>
      <w:r>
        <w:rPr>
          <w:rFonts w:hint="eastAsia" w:ascii="仿宋_GB2312" w:eastAsia="仿宋_GB2312" w:cs="仿宋_GB2312"/>
          <w:kern w:val="0"/>
          <w:sz w:val="32"/>
          <w:szCs w:val="32"/>
        </w:rPr>
        <w:t>教师和学员一律佩戴口罩上课。学员座位要保持合适安全间距，教师、学员一对一辅导要保持1米以上距离，减少近距离接触。</w:t>
      </w:r>
    </w:p>
    <w:p>
      <w:pPr>
        <w:autoSpaceDE w:val="0"/>
        <w:autoSpaceDN w:val="0"/>
        <w:adjustRightInd w:val="0"/>
        <w:spacing w:line="540" w:lineRule="exact"/>
        <w:ind w:firstLine="643" w:firstLineChars="200"/>
        <w:rPr>
          <w:rFonts w:ascii="仿宋_GB2312" w:eastAsia="仿宋_GB2312" w:cs="仿宋_GB2312"/>
          <w:kern w:val="0"/>
          <w:sz w:val="32"/>
          <w:szCs w:val="32"/>
        </w:rPr>
      </w:pPr>
      <w:r>
        <w:rPr>
          <w:rFonts w:hint="eastAsia" w:ascii="楷体_GB2312" w:eastAsia="楷体_GB2312" w:cs="仿宋_GB2312"/>
          <w:b/>
          <w:kern w:val="0"/>
          <w:sz w:val="32"/>
          <w:szCs w:val="32"/>
        </w:rPr>
        <w:t>（七）组织学员错峰下课。</w:t>
      </w:r>
      <w:r>
        <w:rPr>
          <w:rFonts w:hint="eastAsia" w:ascii="仿宋_GB2312" w:eastAsia="仿宋_GB2312" w:cs="仿宋_GB2312"/>
          <w:kern w:val="0"/>
          <w:sz w:val="32"/>
          <w:szCs w:val="32"/>
        </w:rPr>
        <w:t>下课后机构员工立即引导学员有序离开教室。家长即接即走。学员、家长不得在机构内逗留聚集。机构应安排专人配合物管人员做好人流疏导工作。</w:t>
      </w:r>
    </w:p>
    <w:p>
      <w:pPr>
        <w:spacing w:line="540" w:lineRule="exact"/>
        <w:ind w:firstLine="643" w:firstLineChars="200"/>
        <w:rPr>
          <w:rFonts w:ascii="仿宋_GB2312" w:eastAsia="仿宋_GB2312"/>
          <w:sz w:val="32"/>
          <w:szCs w:val="32"/>
        </w:rPr>
      </w:pPr>
      <w:r>
        <w:rPr>
          <w:rFonts w:hint="eastAsia" w:ascii="楷体_GB2312" w:eastAsia="楷体_GB2312" w:cs="仿宋_GB2312"/>
          <w:b/>
          <w:kern w:val="0"/>
          <w:sz w:val="32"/>
          <w:szCs w:val="32"/>
        </w:rPr>
        <w:t>（八）加强全日制和住宿学员管理。</w:t>
      </w:r>
      <w:r>
        <w:rPr>
          <w:rFonts w:hint="eastAsia" w:ascii="仿宋_GB2312" w:eastAsia="仿宋_GB2312" w:cs="仿宋_GB2312"/>
          <w:kern w:val="0"/>
          <w:sz w:val="32"/>
          <w:szCs w:val="32"/>
        </w:rPr>
        <w:t>有全日制或寄宿学员的机构，严格落实《</w:t>
      </w:r>
      <w:r>
        <w:rPr>
          <w:rFonts w:hint="eastAsia" w:ascii="仿宋_GB2312" w:hAnsi="仿宋" w:eastAsia="仿宋_GB2312" w:cs="仿宋_GB2312"/>
          <w:kern w:val="0"/>
          <w:sz w:val="32"/>
          <w:szCs w:val="32"/>
        </w:rPr>
        <w:t>深圳市教育局 深圳市卫生健康委员会关于做好中小学幼儿园2020年春季学期开学准备工作的通知》（</w:t>
      </w:r>
      <w:r>
        <w:rPr>
          <w:rFonts w:hint="eastAsia" w:ascii="仿宋_GB2312" w:eastAsia="仿宋_GB2312"/>
          <w:sz w:val="32"/>
          <w:szCs w:val="32"/>
        </w:rPr>
        <w:t>深教〔2020〕45号</w:t>
      </w:r>
      <w:r>
        <w:rPr>
          <w:rFonts w:hint="eastAsia" w:ascii="仿宋_GB2312" w:hAnsi="仿宋" w:eastAsia="仿宋_GB2312" w:cs="仿宋_GB2312"/>
          <w:kern w:val="0"/>
          <w:sz w:val="32"/>
          <w:szCs w:val="32"/>
        </w:rPr>
        <w:t>）要求，做好全日制和寄宿学员管理。</w:t>
      </w:r>
      <w:r>
        <w:rPr>
          <w:rFonts w:hint="eastAsia" w:ascii="仿宋_GB2312" w:eastAsia="仿宋_GB2312" w:cs="仿宋_GB2312"/>
          <w:kern w:val="0"/>
          <w:sz w:val="32"/>
          <w:szCs w:val="32"/>
        </w:rPr>
        <w:t>安排专人监测学员健康状况，增加每日对学员体温监测次数,控制同时就餐人数、宿舍通道和楼层人流数量，监督学员回宿舍后不串门、不聚集。加强宿舍、浴室、卫生间的清洁消毒。</w:t>
      </w:r>
    </w:p>
    <w:p>
      <w:pPr>
        <w:autoSpaceDE w:val="0"/>
        <w:autoSpaceDN w:val="0"/>
        <w:adjustRightInd w:val="0"/>
        <w:spacing w:line="540" w:lineRule="exact"/>
        <w:ind w:firstLine="640" w:firstLineChars="200"/>
        <w:jc w:val="left"/>
        <w:rPr>
          <w:rFonts w:ascii="黑体" w:eastAsia="黑体" w:cs="黑体"/>
          <w:kern w:val="0"/>
          <w:sz w:val="32"/>
          <w:szCs w:val="32"/>
        </w:rPr>
      </w:pPr>
      <w:r>
        <w:rPr>
          <w:rFonts w:hint="eastAsia" w:ascii="黑体" w:eastAsia="黑体" w:cs="黑体"/>
          <w:kern w:val="0"/>
          <w:sz w:val="32"/>
          <w:szCs w:val="32"/>
        </w:rPr>
        <w:t>四、开展线下培训后措施</w:t>
      </w:r>
    </w:p>
    <w:p>
      <w:pPr>
        <w:autoSpaceDE w:val="0"/>
        <w:autoSpaceDN w:val="0"/>
        <w:adjustRightInd w:val="0"/>
        <w:spacing w:line="540" w:lineRule="exact"/>
        <w:ind w:firstLine="643" w:firstLineChars="200"/>
        <w:jc w:val="left"/>
        <w:rPr>
          <w:rFonts w:ascii="仿宋_GB2312" w:eastAsia="仿宋_GB2312" w:cs="仿宋_GB2312"/>
          <w:kern w:val="0"/>
          <w:sz w:val="32"/>
          <w:szCs w:val="32"/>
        </w:rPr>
      </w:pPr>
      <w:r>
        <w:rPr>
          <w:rFonts w:hint="eastAsia" w:ascii="楷体_GB2312" w:eastAsia="楷体_GB2312" w:cs="仿宋_GB2312"/>
          <w:b/>
          <w:kern w:val="0"/>
          <w:sz w:val="32"/>
          <w:szCs w:val="32"/>
        </w:rPr>
        <w:t>（一）做好课后清洁消毒。</w:t>
      </w:r>
      <w:r>
        <w:rPr>
          <w:rFonts w:hint="eastAsia" w:ascii="仿宋_GB2312" w:eastAsia="仿宋_GB2312" w:cs="仿宋_GB2312"/>
          <w:kern w:val="0"/>
          <w:sz w:val="32"/>
          <w:szCs w:val="32"/>
        </w:rPr>
        <w:t>不同批（班）次学员上完课后，教室均应进行消毒，做好消毒登记，并在下一批学员上课前做好通风换气。教室、办公室、休息室等公共场所配备免洗手消毒液。洗手间和食堂要配备足够的洗手液或肥皂，保证饮水供水设施正常使用。</w:t>
      </w:r>
    </w:p>
    <w:p>
      <w:pPr>
        <w:autoSpaceDE w:val="0"/>
        <w:autoSpaceDN w:val="0"/>
        <w:adjustRightInd w:val="0"/>
        <w:spacing w:line="540" w:lineRule="exact"/>
        <w:ind w:firstLine="643" w:firstLineChars="200"/>
        <w:jc w:val="left"/>
        <w:rPr>
          <w:rFonts w:ascii="楷体_GB2312" w:eastAsia="楷体_GB2312" w:cs="黑体"/>
          <w:b/>
          <w:kern w:val="0"/>
          <w:sz w:val="32"/>
          <w:szCs w:val="32"/>
        </w:rPr>
      </w:pPr>
      <w:r>
        <w:rPr>
          <w:rFonts w:hint="eastAsia" w:ascii="楷体_GB2312" w:eastAsia="楷体_GB2312" w:cs="黑体"/>
          <w:b/>
          <w:kern w:val="0"/>
          <w:sz w:val="32"/>
          <w:szCs w:val="32"/>
        </w:rPr>
        <w:t>（二）做好疫情应急处置。</w:t>
      </w:r>
      <w:r>
        <w:rPr>
          <w:rFonts w:ascii="楷体_GB2312" w:eastAsia="楷体_GB2312" w:cs="黑体"/>
          <w:bCs/>
          <w:kern w:val="0"/>
          <w:sz w:val="32"/>
          <w:szCs w:val="32"/>
        </w:rPr>
        <w:t>1.</w:t>
      </w:r>
      <w:r>
        <w:rPr>
          <w:rFonts w:hint="eastAsia" w:ascii="楷体_GB2312" w:hAnsi="Times New Roman" w:eastAsia="楷体_GB2312" w:cs="Times New Roman"/>
          <w:sz w:val="32"/>
          <w:szCs w:val="32"/>
        </w:rPr>
        <w:t>出现相关症状处理。</w:t>
      </w:r>
      <w:r>
        <w:rPr>
          <w:rFonts w:hint="eastAsia" w:ascii="Times New Roman" w:hAnsi="Times New Roman" w:eastAsia="仿宋_GB2312" w:cs="Times New Roman"/>
          <w:sz w:val="32"/>
          <w:szCs w:val="32"/>
        </w:rPr>
        <w:t>师生员工如仅出现普通感冒症状（如鼻塞、流涕、咽痛等），应立即戴好口罩转移至健康隔离区做进一步观察，联系家长</w:t>
      </w:r>
      <w:r>
        <w:rPr>
          <w:rFonts w:ascii="Times New Roman" w:hAnsi="Times New Roman" w:eastAsia="仿宋_GB2312" w:cs="Times New Roman"/>
          <w:sz w:val="32"/>
          <w:szCs w:val="32"/>
        </w:rPr>
        <w:t>妥善处置</w:t>
      </w:r>
      <w:r>
        <w:rPr>
          <w:rFonts w:hint="eastAsia" w:ascii="Times New Roman" w:hAnsi="Times New Roman" w:eastAsia="仿宋_GB2312" w:cs="Times New Roman"/>
          <w:sz w:val="32"/>
          <w:szCs w:val="32"/>
        </w:rPr>
        <w:t>。教职员工和学员中如出现疑似新冠肺炎症状（如发热、干咳、乏力、咽痛、腹泻），应立即戴好口罩至健康隔离区等候并通知学员家长，并立即报告</w:t>
      </w:r>
      <w:r>
        <w:rPr>
          <w:rFonts w:hint="eastAsia" w:ascii="仿宋_GB2312" w:eastAsia="仿宋_GB2312" w:cs="仿宋_GB2312"/>
          <w:kern w:val="0"/>
          <w:sz w:val="32"/>
          <w:szCs w:val="32"/>
        </w:rPr>
        <w:t>社区工作站，配合</w:t>
      </w:r>
      <w:r>
        <w:rPr>
          <w:rFonts w:hint="eastAsia" w:ascii="Times New Roman" w:hAnsi="Times New Roman" w:eastAsia="仿宋_GB2312" w:cs="Times New Roman"/>
          <w:sz w:val="32"/>
          <w:szCs w:val="32"/>
        </w:rPr>
        <w:t>属地疾控机构处置。</w:t>
      </w:r>
      <w:r>
        <w:rPr>
          <w:rFonts w:ascii="楷体_GB2312" w:eastAsia="楷体_GB2312" w:cs="黑体"/>
          <w:bCs/>
          <w:kern w:val="0"/>
          <w:sz w:val="32"/>
          <w:szCs w:val="32"/>
        </w:rPr>
        <w:t>2.</w:t>
      </w:r>
      <w:r>
        <w:rPr>
          <w:rFonts w:hint="eastAsia" w:ascii="楷体_GB2312" w:eastAsia="楷体_GB2312" w:cs="黑体"/>
          <w:bCs/>
          <w:kern w:val="0"/>
          <w:sz w:val="32"/>
          <w:szCs w:val="32"/>
        </w:rPr>
        <w:t>出现确诊病例处理</w:t>
      </w:r>
      <w:r>
        <w:rPr>
          <w:rFonts w:hint="eastAsia" w:ascii="楷体_GB2312" w:hAnsi="Times New Roman" w:eastAsia="楷体_GB2312" w:cs="Times New Roman"/>
          <w:sz w:val="32"/>
          <w:szCs w:val="32"/>
        </w:rPr>
        <w:t>。</w:t>
      </w:r>
      <w:r>
        <w:rPr>
          <w:rFonts w:hint="eastAsia" w:ascii="仿宋_GB2312" w:hAnsi="Times New Roman" w:eastAsia="仿宋_GB2312" w:cs="Times New Roman"/>
          <w:sz w:val="32"/>
          <w:szCs w:val="32"/>
        </w:rPr>
        <w:t>疑似症状人员诊断为新冠肺炎，在配合属地疾控部门做好处置的同时，配合做好密切接触者的处理；严格落实由疫情防控专家评估后采取全面停课或局部停课等管控措施；</w:t>
      </w:r>
      <w:r>
        <w:rPr>
          <w:rFonts w:hint="eastAsia" w:ascii="仿宋_GB2312" w:eastAsia="仿宋_GB2312" w:cs="仿宋_GB2312"/>
          <w:kern w:val="0"/>
          <w:sz w:val="32"/>
          <w:szCs w:val="32"/>
        </w:rPr>
        <w:t>配合疾控机构的流行病学调查和对有关场所、物品进行终末消毒等工作；</w:t>
      </w:r>
      <w:r>
        <w:rPr>
          <w:rFonts w:hint="eastAsia" w:ascii="Times New Roman" w:hAnsi="Times New Roman" w:eastAsia="仿宋_GB2312" w:cs="Times New Roman"/>
          <w:sz w:val="32"/>
          <w:szCs w:val="32"/>
        </w:rPr>
        <w:t xml:space="preserve">对共同生活、上课的一般接触者进行风险告知，如出现发热、干咳等疑似症状时及时就医；要有专人负责与接受隔离学员的家长联系，掌握健康状况。 </w:t>
      </w:r>
    </w:p>
    <w:p>
      <w:pPr>
        <w:spacing w:line="540" w:lineRule="exact"/>
        <w:ind w:firstLine="643" w:firstLineChars="200"/>
        <w:rPr>
          <w:rFonts w:ascii="楷体_GB2312" w:hAnsi="仿宋" w:eastAsia="楷体_GB2312" w:cs="仿宋_GB2312"/>
          <w:b/>
          <w:kern w:val="0"/>
          <w:sz w:val="32"/>
          <w:szCs w:val="32"/>
        </w:rPr>
      </w:pPr>
      <w:r>
        <w:rPr>
          <w:rFonts w:hint="eastAsia" w:ascii="楷体_GB2312" w:hAnsi="仿宋" w:eastAsia="楷体_GB2312" w:cs="仿宋_GB2312"/>
          <w:b/>
          <w:kern w:val="0"/>
          <w:sz w:val="32"/>
          <w:szCs w:val="32"/>
        </w:rPr>
        <w:t>（三）实施线下培训专项督查。</w:t>
      </w:r>
      <w:r>
        <w:rPr>
          <w:rFonts w:hint="eastAsia" w:ascii="Times New Roman" w:hAnsi="Times New Roman" w:eastAsia="仿宋_GB2312"/>
          <w:sz w:val="32"/>
          <w:szCs w:val="32"/>
        </w:rPr>
        <w:t>校外培训机构开展线下培训一星期后，</w:t>
      </w:r>
      <w:r>
        <w:rPr>
          <w:rFonts w:hint="eastAsia" w:ascii="仿宋_GB2312" w:hAnsi="仿宋" w:eastAsia="仿宋_GB2312" w:cs="仿宋_GB2312"/>
          <w:kern w:val="0"/>
          <w:sz w:val="32"/>
          <w:szCs w:val="32"/>
        </w:rPr>
        <w:t>市、区教育行政部门会同卫生健康部门，对校外培训机构线下培训落实情况进行专项督查，对于落实不到位的，责令其限期整改。出现疫情等造成严重后果造成恶劣影响的，追究机构负责人责任。</w:t>
      </w:r>
    </w:p>
    <w:p>
      <w:pPr>
        <w:autoSpaceDE w:val="0"/>
        <w:autoSpaceDN w:val="0"/>
        <w:adjustRightInd w:val="0"/>
        <w:spacing w:line="540" w:lineRule="exact"/>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请各单位高度重视，认真做好线下培训准备工作。本通知各项要求如与上级部门发布的最新要求不一致的，以上级文件规定为准。</w:t>
      </w:r>
    </w:p>
    <w:p>
      <w:pPr>
        <w:autoSpaceDE w:val="0"/>
        <w:autoSpaceDN w:val="0"/>
        <w:adjustRightInd w:val="0"/>
        <w:spacing w:line="540" w:lineRule="exact"/>
        <w:ind w:firstLine="640" w:firstLineChars="200"/>
        <w:jc w:val="left"/>
        <w:rPr>
          <w:rFonts w:ascii="仿宋_GB2312" w:hAnsi="仿宋" w:eastAsia="仿宋_GB2312" w:cs="仿宋_GB2312"/>
          <w:kern w:val="0"/>
          <w:sz w:val="32"/>
          <w:szCs w:val="32"/>
        </w:rPr>
      </w:pPr>
    </w:p>
    <w:p>
      <w:pPr>
        <w:widowControl/>
        <w:spacing w:line="540" w:lineRule="exact"/>
        <w:ind w:left="1750" w:leftChars="300" w:right="6" w:hanging="1120" w:hangingChars="350"/>
        <w:jc w:val="left"/>
        <w:rPr>
          <w:rFonts w:ascii="仿宋_GB2312" w:eastAsia="仿宋_GB2312" w:cs="仿宋_GB2312"/>
          <w:kern w:val="0"/>
          <w:sz w:val="32"/>
          <w:szCs w:val="32"/>
        </w:rPr>
      </w:pPr>
      <w:r>
        <w:rPr>
          <w:rFonts w:hint="eastAsia" w:ascii="仿宋_GB2312" w:eastAsia="仿宋_GB2312" w:cs="仿宋_GB2312"/>
          <w:kern w:val="0"/>
          <w:sz w:val="32"/>
          <w:szCs w:val="32"/>
        </w:rPr>
        <w:t>附件：3-1.</w:t>
      </w:r>
      <w:r>
        <w:rPr>
          <w:rFonts w:hint="eastAsia" w:ascii="仿宋_GB2312" w:hAnsi="Times New Roman" w:eastAsia="仿宋_GB2312"/>
          <w:bCs/>
          <w:sz w:val="32"/>
          <w:szCs w:val="32"/>
        </w:rPr>
        <w:t>深圳市校外培训机构线下培训疫情防控承诺书</w:t>
      </w:r>
    </w:p>
    <w:p>
      <w:pPr>
        <w:widowControl/>
        <w:spacing w:line="540" w:lineRule="exact"/>
        <w:ind w:right="6" w:firstLine="1600" w:firstLineChars="500"/>
        <w:jc w:val="left"/>
        <w:rPr>
          <w:rFonts w:ascii="仿宋_GB2312" w:hAnsi="Times New Roman" w:eastAsia="仿宋_GB2312"/>
          <w:bCs/>
          <w:sz w:val="32"/>
          <w:szCs w:val="32"/>
        </w:rPr>
      </w:pPr>
      <w:r>
        <w:rPr>
          <w:rFonts w:hint="eastAsia" w:ascii="仿宋_GB2312" w:hAnsi="Times New Roman" w:eastAsia="仿宋_GB2312"/>
          <w:bCs/>
          <w:sz w:val="32"/>
          <w:szCs w:val="32"/>
        </w:rPr>
        <w:t>3-2.深圳市校外培训机构开展线下培训审批表</w:t>
      </w:r>
    </w:p>
    <w:p>
      <w:pPr>
        <w:widowControl/>
        <w:spacing w:line="540" w:lineRule="exact"/>
        <w:ind w:right="6" w:firstLine="1600" w:firstLineChars="500"/>
        <w:jc w:val="left"/>
        <w:rPr>
          <w:rFonts w:ascii="仿宋_GB2312" w:hAnsi="Times New Roman" w:eastAsia="仿宋_GB2312"/>
          <w:bCs/>
          <w:sz w:val="32"/>
          <w:szCs w:val="32"/>
        </w:rPr>
      </w:pPr>
      <w:r>
        <w:rPr>
          <w:rFonts w:hint="eastAsia" w:ascii="仿宋_GB2312" w:eastAsia="仿宋_GB2312" w:cs="仿宋_GB2312"/>
          <w:kern w:val="0"/>
          <w:sz w:val="32"/>
          <w:szCs w:val="32"/>
        </w:rPr>
        <w:t>3-3.</w:t>
      </w:r>
      <w:r>
        <w:rPr>
          <w:rFonts w:hint="eastAsia" w:ascii="仿宋_GB2312" w:hAnsi="Times New Roman" w:eastAsia="仿宋_GB2312"/>
          <w:bCs/>
          <w:sz w:val="32"/>
          <w:szCs w:val="32"/>
        </w:rPr>
        <w:t>深圳市校外培训机构线下培训准备措施</w:t>
      </w:r>
    </w:p>
    <w:p>
      <w:pPr>
        <w:widowControl/>
        <w:spacing w:line="540" w:lineRule="exact"/>
        <w:ind w:right="6" w:firstLine="1600" w:firstLineChars="500"/>
        <w:jc w:val="distribute"/>
        <w:rPr>
          <w:rFonts w:ascii="仿宋_GB2312" w:hAnsi="黑体" w:eastAsia="仿宋_GB2312" w:cs="Times New Roman"/>
          <w:sz w:val="32"/>
          <w:szCs w:val="32"/>
        </w:rPr>
      </w:pPr>
      <w:r>
        <w:rPr>
          <w:rFonts w:hint="eastAsia" w:ascii="仿宋_GB2312" w:hAnsi="黑体" w:eastAsia="仿宋_GB2312" w:cs="Times New Roman"/>
          <w:sz w:val="32"/>
          <w:szCs w:val="32"/>
        </w:rPr>
        <w:t>3-4.深圳市校外培训机构教职员工、学员健康信息</w:t>
      </w:r>
    </w:p>
    <w:p>
      <w:pPr>
        <w:widowControl/>
        <w:spacing w:line="540" w:lineRule="exact"/>
        <w:ind w:right="6" w:firstLine="2240" w:firstLineChars="700"/>
        <w:jc w:val="left"/>
        <w:rPr>
          <w:rFonts w:ascii="仿宋_GB2312" w:hAnsi="Times New Roman" w:eastAsia="仿宋_GB2312"/>
          <w:sz w:val="32"/>
          <w:szCs w:val="32"/>
        </w:rPr>
      </w:pPr>
      <w:r>
        <w:rPr>
          <w:rFonts w:hint="eastAsia" w:ascii="仿宋_GB2312" w:hAnsi="黑体" w:eastAsia="仿宋_GB2312" w:cs="Times New Roman"/>
          <w:sz w:val="32"/>
          <w:szCs w:val="32"/>
        </w:rPr>
        <w:t>申报卡</w:t>
      </w:r>
    </w:p>
    <w:p>
      <w:pPr>
        <w:autoSpaceDE w:val="0"/>
        <w:autoSpaceDN w:val="0"/>
        <w:adjustRightInd w:val="0"/>
        <w:spacing w:line="540" w:lineRule="exact"/>
        <w:ind w:firstLine="1600" w:firstLineChars="500"/>
        <w:jc w:val="left"/>
        <w:rPr>
          <w:rFonts w:ascii="仿宋_GB2312" w:eastAsia="仿宋_GB2312" w:cs="仿宋_GB2312"/>
          <w:kern w:val="0"/>
          <w:sz w:val="32"/>
          <w:szCs w:val="32"/>
        </w:rPr>
      </w:pPr>
      <w:r>
        <w:rPr>
          <w:rFonts w:hint="eastAsia" w:ascii="仿宋_GB2312" w:eastAsia="仿宋_GB2312" w:cs="仿宋_GB2312"/>
          <w:kern w:val="0"/>
          <w:sz w:val="32"/>
          <w:szCs w:val="32"/>
        </w:rPr>
        <w:t>3-5.日常清洁消毒和常见消毒剂配置指引</w:t>
      </w:r>
    </w:p>
    <w:p>
      <w:pPr>
        <w:autoSpaceDE w:val="0"/>
        <w:autoSpaceDN w:val="0"/>
        <w:adjustRightInd w:val="0"/>
        <w:spacing w:line="540" w:lineRule="exact"/>
        <w:ind w:firstLine="1600" w:firstLineChars="500"/>
        <w:jc w:val="left"/>
        <w:rPr>
          <w:rFonts w:ascii="仿宋_GB2312" w:eastAsia="仿宋_GB2312" w:cs="仿宋_GB2312"/>
          <w:kern w:val="0"/>
          <w:sz w:val="32"/>
          <w:szCs w:val="32"/>
        </w:rPr>
      </w:pPr>
    </w:p>
    <w:p>
      <w:pPr>
        <w:autoSpaceDE w:val="0"/>
        <w:autoSpaceDN w:val="0"/>
        <w:adjustRightInd w:val="0"/>
        <w:spacing w:line="540" w:lineRule="exact"/>
        <w:ind w:firstLine="1600" w:firstLineChars="500"/>
        <w:jc w:val="left"/>
        <w:rPr>
          <w:rFonts w:ascii="仿宋_GB2312" w:eastAsia="仿宋_GB2312" w:cs="仿宋_GB2312"/>
          <w:kern w:val="0"/>
          <w:sz w:val="32"/>
          <w:szCs w:val="32"/>
        </w:rPr>
      </w:pPr>
    </w:p>
    <w:p>
      <w:pPr>
        <w:autoSpaceDE w:val="0"/>
        <w:autoSpaceDN w:val="0"/>
        <w:adjustRightInd w:val="0"/>
        <w:spacing w:line="540" w:lineRule="exact"/>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 xml:space="preserve">                                 深圳市教育局</w:t>
      </w:r>
    </w:p>
    <w:p>
      <w:pPr>
        <w:autoSpaceDE w:val="0"/>
        <w:autoSpaceDN w:val="0"/>
        <w:adjustRightInd w:val="0"/>
        <w:spacing w:line="540" w:lineRule="exact"/>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 xml:space="preserve">                                 2020年4月2日</w:t>
      </w:r>
    </w:p>
    <w:p>
      <w:pPr>
        <w:autoSpaceDE w:val="0"/>
        <w:autoSpaceDN w:val="0"/>
        <w:adjustRightInd w:val="0"/>
        <w:spacing w:line="540" w:lineRule="exact"/>
        <w:ind w:firstLine="640" w:firstLineChars="200"/>
        <w:jc w:val="left"/>
        <w:rPr>
          <w:rFonts w:ascii="仿宋_GB2312" w:hAnsi="仿宋" w:eastAsia="仿宋_GB2312" w:cs="仿宋_GB2312"/>
          <w:kern w:val="0"/>
          <w:sz w:val="32"/>
          <w:szCs w:val="32"/>
        </w:rPr>
      </w:pPr>
    </w:p>
    <w:p>
      <w:pPr>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（联系人：叶增鹏，联系电话：88125705）</w:t>
      </w:r>
    </w:p>
    <w:p>
      <w:pPr>
        <w:spacing w:line="580" w:lineRule="exact"/>
        <w:ind w:firstLine="640" w:firstLineChars="200"/>
        <w:jc w:val="left"/>
        <w:rPr>
          <w:rFonts w:ascii="仿宋_GB2312" w:hAnsi="黑体" w:eastAsia="仿宋_GB2312"/>
          <w:sz w:val="32"/>
          <w:szCs w:val="32"/>
        </w:rPr>
      </w:pPr>
    </w:p>
    <w:p>
      <w:pPr>
        <w:spacing w:line="580" w:lineRule="exact"/>
        <w:ind w:firstLine="640" w:firstLineChars="200"/>
        <w:jc w:val="left"/>
        <w:rPr>
          <w:rFonts w:ascii="仿宋_GB2312" w:hAnsi="黑体" w:eastAsia="仿宋_GB2312"/>
          <w:sz w:val="32"/>
          <w:szCs w:val="32"/>
        </w:rPr>
      </w:pPr>
    </w:p>
    <w:p>
      <w:pPr>
        <w:spacing w:line="580" w:lineRule="exact"/>
        <w:ind w:firstLine="640" w:firstLineChars="200"/>
        <w:jc w:val="left"/>
        <w:rPr>
          <w:rFonts w:ascii="仿宋_GB2312" w:hAnsi="黑体" w:eastAsia="仿宋_GB2312"/>
          <w:sz w:val="32"/>
          <w:szCs w:val="32"/>
        </w:rPr>
      </w:pPr>
    </w:p>
    <w:p>
      <w:pPr>
        <w:spacing w:line="580" w:lineRule="exact"/>
        <w:jc w:val="left"/>
        <w:rPr>
          <w:rFonts w:ascii="黑体" w:hAnsi="黑体" w:eastAsia="黑体" w:cs="黑体"/>
          <w:sz w:val="32"/>
          <w:szCs w:val="32"/>
        </w:rPr>
      </w:pPr>
      <w:r>
        <w:rPr>
          <w:rFonts w:hint="eastAsia" w:ascii="黑体" w:hAnsi="黑体" w:eastAsia="黑体" w:cs="黑体"/>
          <w:sz w:val="32"/>
          <w:szCs w:val="32"/>
        </w:rPr>
        <w:t xml:space="preserve">附件3-1 </w:t>
      </w:r>
    </w:p>
    <w:p>
      <w:pPr>
        <w:widowControl/>
        <w:spacing w:line="580" w:lineRule="exact"/>
        <w:ind w:right="6" w:firstLine="180" w:firstLineChars="50"/>
        <w:jc w:val="left"/>
        <w:rPr>
          <w:rFonts w:ascii="Times New Roman" w:hAnsi="Times New Roman" w:eastAsia="方正小标宋简体"/>
          <w:bCs/>
          <w:sz w:val="36"/>
          <w:szCs w:val="36"/>
        </w:rPr>
      </w:pPr>
      <w:bookmarkStart w:id="0" w:name="_深圳市区学校（幼儿园）开学疫情防控承诺书"/>
      <w:bookmarkEnd w:id="0"/>
      <w:bookmarkStart w:id="1" w:name="_中小学校新冠肺炎防控技术方案"/>
      <w:bookmarkEnd w:id="1"/>
      <w:bookmarkStart w:id="2" w:name="_托幼机构新冠肺炎防控技术方案"/>
      <w:bookmarkEnd w:id="2"/>
    </w:p>
    <w:p>
      <w:pPr>
        <w:widowControl/>
        <w:spacing w:line="580" w:lineRule="exact"/>
        <w:ind w:right="6"/>
        <w:jc w:val="center"/>
        <w:rPr>
          <w:rFonts w:ascii="Times New Roman" w:hAnsi="Times New Roman" w:eastAsia="方正小标宋简体"/>
          <w:bCs/>
          <w:sz w:val="36"/>
          <w:szCs w:val="36"/>
        </w:rPr>
      </w:pPr>
      <w:r>
        <w:rPr>
          <w:rFonts w:hint="eastAsia" w:ascii="Times New Roman" w:hAnsi="Times New Roman" w:eastAsia="方正小标宋简体"/>
          <w:bCs/>
          <w:sz w:val="36"/>
          <w:szCs w:val="36"/>
        </w:rPr>
        <w:t>深圳市校外培训机构线下培训疫情防控工作承诺书</w:t>
      </w:r>
    </w:p>
    <w:p>
      <w:pPr>
        <w:widowControl/>
        <w:spacing w:line="580" w:lineRule="exact"/>
        <w:rPr>
          <w:rFonts w:ascii="仿宋_GB2312" w:hAnsi="仿宋_GB2312" w:eastAsia="仿宋_GB2312" w:cs="仿宋_GB2312"/>
          <w:kern w:val="0"/>
          <w:sz w:val="32"/>
          <w:szCs w:val="32"/>
        </w:rPr>
      </w:pPr>
    </w:p>
    <w:p>
      <w:pPr>
        <w:widowControl/>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根据《深圳市教育局关于校外培训机构开展线下培训准备和疫情防控工作的通知</w:t>
      </w:r>
      <w:r>
        <w:rPr>
          <w:rFonts w:ascii="仿宋_GB2312" w:hAnsi="仿宋_GB2312" w:eastAsia="仿宋_GB2312" w:cs="仿宋_GB2312"/>
          <w:kern w:val="0"/>
          <w:sz w:val="32"/>
          <w:szCs w:val="32"/>
        </w:rPr>
        <w:t>》要求</w:t>
      </w:r>
      <w:r>
        <w:rPr>
          <w:rFonts w:hint="eastAsia" w:ascii="仿宋_GB2312" w:hAnsi="仿宋_GB2312" w:eastAsia="仿宋_GB2312" w:cs="仿宋_GB2312"/>
          <w:i/>
          <w:kern w:val="0"/>
          <w:sz w:val="32"/>
          <w:szCs w:val="32"/>
        </w:rPr>
        <w:t>，</w:t>
      </w:r>
      <w:r>
        <w:rPr>
          <w:rFonts w:hint="eastAsia" w:ascii="仿宋_GB2312" w:hAnsi="仿宋_GB2312" w:eastAsia="仿宋_GB2312" w:cs="仿宋_GB2312"/>
          <w:kern w:val="0"/>
          <w:sz w:val="32"/>
          <w:szCs w:val="32"/>
        </w:rPr>
        <w:t>我机构承诺，已经严格按照指引要求做好线下培训防疫措施和各项准备工作。开展线下培训后，将切实落实防控主体责任，加强教职员工、学员健康监测，严格执行疫情防控各项制度，主动纳入社区“三位一体”防控体系，对接属地疾控部门和社康中心，实行“日报告、零报告”制度，把各项防控保障措施落实到位。开展线下培训后如出现疫情，将严格按卫健、疾控和教育部门要求实施包括停课等在内的管控措施。</w:t>
      </w:r>
    </w:p>
    <w:p>
      <w:pPr>
        <w:widowControl/>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特此承诺。</w:t>
      </w:r>
    </w:p>
    <w:p>
      <w:pPr>
        <w:widowControl/>
        <w:snapToGrid w:val="0"/>
        <w:spacing w:line="580" w:lineRule="exact"/>
        <w:rPr>
          <w:rFonts w:ascii="仿宋_GB2312" w:hAnsi="仿宋_GB2312" w:eastAsia="仿宋_GB2312" w:cs="仿宋_GB2312"/>
          <w:kern w:val="0"/>
          <w:sz w:val="32"/>
          <w:szCs w:val="32"/>
        </w:rPr>
      </w:pPr>
    </w:p>
    <w:p>
      <w:pPr>
        <w:widowControl/>
        <w:snapToGrid w:val="0"/>
        <w:spacing w:line="580" w:lineRule="exact"/>
        <w:ind w:firstLine="2240" w:firstLineChars="7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  诺 机 构 （盖 章）</w:t>
      </w:r>
      <w:r>
        <w:rPr>
          <w:rFonts w:ascii="仿宋_GB2312" w:hAnsi="仿宋_GB2312" w:eastAsia="仿宋_GB2312" w:cs="仿宋_GB2312"/>
          <w:kern w:val="0"/>
          <w:sz w:val="32"/>
          <w:szCs w:val="32"/>
        </w:rPr>
        <w:t>:</w:t>
      </w:r>
    </w:p>
    <w:p>
      <w:pPr>
        <w:widowControl/>
        <w:snapToGrid w:val="0"/>
        <w:spacing w:line="580" w:lineRule="exact"/>
        <w:ind w:firstLine="2240" w:firstLineChars="7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法定代表人（授权代表）</w:t>
      </w:r>
      <w:r>
        <w:rPr>
          <w:rFonts w:ascii="仿宋_GB2312" w:hAnsi="仿宋_GB2312" w:eastAsia="仿宋_GB2312" w:cs="仿宋_GB2312"/>
          <w:kern w:val="0"/>
          <w:sz w:val="32"/>
          <w:szCs w:val="32"/>
        </w:rPr>
        <w:t>:</w:t>
      </w:r>
    </w:p>
    <w:p>
      <w:pPr>
        <w:widowControl/>
        <w:spacing w:line="580" w:lineRule="exact"/>
        <w:ind w:firstLine="4960" w:firstLineChars="15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 期</w:t>
      </w:r>
      <w:r>
        <w:rPr>
          <w:rFonts w:ascii="仿宋_GB2312" w:hAnsi="仿宋_GB2312" w:eastAsia="仿宋_GB2312" w:cs="仿宋_GB2312"/>
          <w:kern w:val="0"/>
          <w:sz w:val="32"/>
          <w:szCs w:val="32"/>
        </w:rPr>
        <w:t>:</w:t>
      </w: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rPr>
          <w:rFonts w:ascii="黑体" w:hAnsi="黑体" w:eastAsia="黑体" w:cs="Times New Roman"/>
          <w:bCs/>
          <w:sz w:val="32"/>
          <w:szCs w:val="32"/>
        </w:rPr>
      </w:pPr>
      <w:bookmarkStart w:id="3" w:name="_深圳市中小学校（幼儿园）开学备案表"/>
      <w:bookmarkEnd w:id="3"/>
      <w:r>
        <w:rPr>
          <w:rFonts w:hint="eastAsia" w:ascii="黑体" w:hAnsi="黑体" w:eastAsia="黑体" w:cs="Times New Roman"/>
          <w:bCs/>
          <w:sz w:val="32"/>
          <w:szCs w:val="32"/>
        </w:rPr>
        <w:t>附件3-2</w:t>
      </w:r>
    </w:p>
    <w:p>
      <w:pPr>
        <w:widowControl/>
        <w:spacing w:line="580" w:lineRule="exact"/>
        <w:ind w:right="6"/>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深圳市校外培训机构开展线下培训审批表</w:t>
      </w:r>
    </w:p>
    <w:tbl>
      <w:tblPr>
        <w:tblStyle w:val="1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411"/>
        <w:gridCol w:w="2126"/>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460" w:lineRule="exact"/>
              <w:jc w:val="center"/>
              <w:rPr>
                <w:rFonts w:ascii="仿宋_GB2312" w:hAnsi="宋体" w:eastAsia="仿宋_GB2312" w:cs="宋体"/>
                <w:sz w:val="24"/>
                <w:szCs w:val="24"/>
              </w:rPr>
            </w:pPr>
            <w:r>
              <w:rPr>
                <w:rFonts w:hint="eastAsia" w:ascii="仿宋_GB2312" w:hAnsi="等线" w:eastAsia="仿宋_GB2312" w:cs="Times New Roman"/>
                <w:sz w:val="24"/>
                <w:szCs w:val="24"/>
              </w:rPr>
              <w:t>机构名称</w:t>
            </w:r>
          </w:p>
        </w:tc>
        <w:tc>
          <w:tcPr>
            <w:tcW w:w="6759" w:type="dxa"/>
            <w:gridSpan w:val="3"/>
          </w:tcPr>
          <w:p>
            <w:pPr>
              <w:spacing w:line="460" w:lineRule="exact"/>
              <w:ind w:firstLine="480"/>
              <w:rPr>
                <w:rFonts w:ascii="仿宋_GB2312" w:hAnsi="黑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460" w:lineRule="exact"/>
              <w:jc w:val="center"/>
              <w:rPr>
                <w:rFonts w:ascii="仿宋_GB2312" w:hAnsi="宋体" w:eastAsia="仿宋_GB2312" w:cs="宋体"/>
                <w:sz w:val="24"/>
                <w:szCs w:val="24"/>
              </w:rPr>
            </w:pPr>
            <w:r>
              <w:rPr>
                <w:rFonts w:hint="eastAsia" w:ascii="仿宋_GB2312" w:hAnsi="等线" w:eastAsia="仿宋_GB2312" w:cs="Times New Roman"/>
                <w:sz w:val="24"/>
                <w:szCs w:val="24"/>
              </w:rPr>
              <w:t>机构地址</w:t>
            </w:r>
          </w:p>
        </w:tc>
        <w:tc>
          <w:tcPr>
            <w:tcW w:w="6759" w:type="dxa"/>
            <w:gridSpan w:val="3"/>
          </w:tcPr>
          <w:p>
            <w:pPr>
              <w:spacing w:line="460" w:lineRule="exact"/>
              <w:ind w:firstLine="480"/>
              <w:rPr>
                <w:rFonts w:ascii="仿宋_GB2312" w:hAnsi="黑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460" w:lineRule="exact"/>
              <w:jc w:val="center"/>
              <w:rPr>
                <w:rFonts w:ascii="仿宋_GB2312" w:hAnsi="宋体" w:eastAsia="仿宋_GB2312" w:cs="宋体"/>
                <w:sz w:val="24"/>
                <w:szCs w:val="24"/>
              </w:rPr>
            </w:pPr>
            <w:r>
              <w:rPr>
                <w:rFonts w:hint="eastAsia" w:ascii="仿宋_GB2312" w:hAnsi="等线" w:eastAsia="仿宋_GB2312" w:cs="Times New Roman"/>
                <w:sz w:val="24"/>
                <w:szCs w:val="24"/>
              </w:rPr>
              <w:t>联防联控所属街道</w:t>
            </w:r>
          </w:p>
        </w:tc>
        <w:tc>
          <w:tcPr>
            <w:tcW w:w="2411" w:type="dxa"/>
          </w:tcPr>
          <w:p>
            <w:pPr>
              <w:spacing w:line="460" w:lineRule="exact"/>
              <w:ind w:firstLine="480"/>
              <w:rPr>
                <w:rFonts w:ascii="仿宋_GB2312" w:hAnsi="黑体" w:eastAsia="仿宋_GB2312" w:cs="Times New Roman"/>
                <w:sz w:val="24"/>
                <w:szCs w:val="24"/>
              </w:rPr>
            </w:pPr>
          </w:p>
        </w:tc>
        <w:tc>
          <w:tcPr>
            <w:tcW w:w="2126" w:type="dxa"/>
            <w:vAlign w:val="center"/>
          </w:tcPr>
          <w:p>
            <w:pPr>
              <w:spacing w:line="460" w:lineRule="exact"/>
              <w:jc w:val="center"/>
              <w:rPr>
                <w:rFonts w:ascii="仿宋_GB2312" w:hAnsi="等线" w:eastAsia="仿宋_GB2312" w:cs="Times New Roman"/>
                <w:sz w:val="24"/>
                <w:szCs w:val="24"/>
              </w:rPr>
            </w:pPr>
            <w:r>
              <w:rPr>
                <w:rFonts w:hint="eastAsia" w:ascii="仿宋_GB2312" w:hAnsi="仿宋_GB2312" w:eastAsia="仿宋_GB2312" w:cs="仿宋_GB2312"/>
                <w:sz w:val="24"/>
                <w:szCs w:val="24"/>
              </w:rPr>
              <w:t>联系人及电话</w:t>
            </w:r>
          </w:p>
        </w:tc>
        <w:tc>
          <w:tcPr>
            <w:tcW w:w="2222" w:type="dxa"/>
          </w:tcPr>
          <w:p>
            <w:pPr>
              <w:spacing w:line="460" w:lineRule="exact"/>
              <w:ind w:firstLine="480"/>
              <w:rPr>
                <w:rFonts w:ascii="仿宋_GB2312" w:hAnsi="黑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460" w:lineRule="exact"/>
              <w:jc w:val="center"/>
              <w:rPr>
                <w:rFonts w:ascii="仿宋_GB2312" w:hAnsi="宋体" w:eastAsia="仿宋_GB2312" w:cs="宋体"/>
                <w:sz w:val="24"/>
                <w:szCs w:val="24"/>
              </w:rPr>
            </w:pPr>
            <w:r>
              <w:rPr>
                <w:rFonts w:hint="eastAsia" w:ascii="仿宋_GB2312" w:hAnsi="等线" w:eastAsia="仿宋_GB2312" w:cs="Times New Roman"/>
                <w:sz w:val="24"/>
                <w:szCs w:val="24"/>
              </w:rPr>
              <w:t>联防联控所属社区</w:t>
            </w:r>
          </w:p>
        </w:tc>
        <w:tc>
          <w:tcPr>
            <w:tcW w:w="2411" w:type="dxa"/>
          </w:tcPr>
          <w:p>
            <w:pPr>
              <w:spacing w:line="460" w:lineRule="exact"/>
              <w:ind w:firstLine="480"/>
              <w:rPr>
                <w:rFonts w:ascii="仿宋_GB2312" w:hAnsi="黑体" w:eastAsia="仿宋_GB2312" w:cs="Times New Roman"/>
                <w:sz w:val="24"/>
                <w:szCs w:val="24"/>
              </w:rPr>
            </w:pPr>
          </w:p>
        </w:tc>
        <w:tc>
          <w:tcPr>
            <w:tcW w:w="2126" w:type="dxa"/>
            <w:vAlign w:val="center"/>
          </w:tcPr>
          <w:p>
            <w:pPr>
              <w:spacing w:line="460" w:lineRule="exact"/>
              <w:jc w:val="center"/>
              <w:rPr>
                <w:rFonts w:ascii="仿宋_GB2312" w:hAnsi="等线" w:eastAsia="仿宋_GB2312" w:cs="Times New Roman"/>
                <w:sz w:val="24"/>
                <w:szCs w:val="24"/>
              </w:rPr>
            </w:pPr>
            <w:r>
              <w:rPr>
                <w:rFonts w:hint="eastAsia" w:ascii="仿宋_GB2312" w:hAnsi="仿宋_GB2312" w:eastAsia="仿宋_GB2312" w:cs="仿宋_GB2312"/>
                <w:sz w:val="24"/>
                <w:szCs w:val="24"/>
              </w:rPr>
              <w:t>联系人及电话</w:t>
            </w:r>
          </w:p>
        </w:tc>
        <w:tc>
          <w:tcPr>
            <w:tcW w:w="2222" w:type="dxa"/>
          </w:tcPr>
          <w:p>
            <w:pPr>
              <w:spacing w:line="460" w:lineRule="exact"/>
              <w:ind w:firstLine="480"/>
              <w:rPr>
                <w:rFonts w:ascii="仿宋_GB2312" w:hAnsi="黑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460" w:lineRule="exact"/>
              <w:ind w:firstLine="480"/>
              <w:rPr>
                <w:rFonts w:ascii="仿宋_GB2312" w:hAnsi="宋体" w:eastAsia="仿宋_GB2312" w:cs="宋体"/>
                <w:sz w:val="24"/>
                <w:szCs w:val="24"/>
              </w:rPr>
            </w:pPr>
            <w:r>
              <w:rPr>
                <w:rFonts w:hint="eastAsia" w:ascii="仿宋_GB2312" w:hAnsi="等线" w:eastAsia="仿宋_GB2312" w:cs="Times New Roman"/>
                <w:sz w:val="24"/>
                <w:szCs w:val="24"/>
              </w:rPr>
              <w:t>对口医疗机构</w:t>
            </w:r>
          </w:p>
        </w:tc>
        <w:tc>
          <w:tcPr>
            <w:tcW w:w="2411" w:type="dxa"/>
          </w:tcPr>
          <w:p>
            <w:pPr>
              <w:spacing w:line="460" w:lineRule="exact"/>
              <w:ind w:firstLine="480"/>
              <w:rPr>
                <w:rFonts w:ascii="仿宋_GB2312" w:hAnsi="黑体" w:eastAsia="仿宋_GB2312" w:cs="Times New Roman"/>
                <w:sz w:val="24"/>
                <w:szCs w:val="24"/>
              </w:rPr>
            </w:pPr>
          </w:p>
        </w:tc>
        <w:tc>
          <w:tcPr>
            <w:tcW w:w="2126" w:type="dxa"/>
            <w:vAlign w:val="center"/>
          </w:tcPr>
          <w:p>
            <w:pPr>
              <w:spacing w:line="460" w:lineRule="exact"/>
              <w:jc w:val="center"/>
              <w:rPr>
                <w:rFonts w:ascii="仿宋_GB2312" w:hAnsi="等线" w:eastAsia="仿宋_GB2312" w:cs="Times New Roman"/>
                <w:sz w:val="24"/>
                <w:szCs w:val="24"/>
              </w:rPr>
            </w:pPr>
            <w:r>
              <w:rPr>
                <w:rFonts w:hint="eastAsia" w:ascii="仿宋_GB2312" w:hAnsi="仿宋_GB2312" w:eastAsia="仿宋_GB2312" w:cs="仿宋_GB2312"/>
                <w:sz w:val="24"/>
                <w:szCs w:val="24"/>
              </w:rPr>
              <w:t>联系人及电话</w:t>
            </w:r>
          </w:p>
        </w:tc>
        <w:tc>
          <w:tcPr>
            <w:tcW w:w="2222" w:type="dxa"/>
          </w:tcPr>
          <w:p>
            <w:pPr>
              <w:spacing w:line="460" w:lineRule="exact"/>
              <w:ind w:firstLine="480"/>
              <w:rPr>
                <w:rFonts w:ascii="仿宋_GB2312" w:hAnsi="黑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460" w:lineRule="exact"/>
              <w:jc w:val="center"/>
              <w:rPr>
                <w:rFonts w:ascii="仿宋_GB2312" w:hAnsi="宋体" w:eastAsia="仿宋_GB2312" w:cs="宋体"/>
                <w:sz w:val="24"/>
                <w:szCs w:val="24"/>
              </w:rPr>
            </w:pPr>
            <w:r>
              <w:rPr>
                <w:rFonts w:hint="eastAsia" w:ascii="仿宋_GB2312" w:hAnsi="等线" w:eastAsia="仿宋_GB2312" w:cs="Times New Roman"/>
                <w:sz w:val="24"/>
                <w:szCs w:val="24"/>
              </w:rPr>
              <w:t>机构负责人（法人）</w:t>
            </w:r>
          </w:p>
        </w:tc>
        <w:tc>
          <w:tcPr>
            <w:tcW w:w="2411" w:type="dxa"/>
          </w:tcPr>
          <w:p>
            <w:pPr>
              <w:spacing w:line="460" w:lineRule="exact"/>
              <w:ind w:firstLine="480"/>
              <w:rPr>
                <w:rFonts w:ascii="仿宋_GB2312" w:hAnsi="黑体" w:eastAsia="仿宋_GB2312" w:cs="Times New Roman"/>
                <w:sz w:val="24"/>
                <w:szCs w:val="24"/>
              </w:rPr>
            </w:pPr>
          </w:p>
        </w:tc>
        <w:tc>
          <w:tcPr>
            <w:tcW w:w="2126" w:type="dxa"/>
            <w:vAlign w:val="center"/>
          </w:tcPr>
          <w:p>
            <w:pPr>
              <w:spacing w:line="460" w:lineRule="exact"/>
              <w:jc w:val="center"/>
              <w:rPr>
                <w:rFonts w:ascii="仿宋_GB2312" w:hAnsi="等线" w:eastAsia="仿宋_GB2312" w:cs="Times New Roman"/>
                <w:sz w:val="24"/>
                <w:szCs w:val="24"/>
              </w:rPr>
            </w:pPr>
            <w:r>
              <w:rPr>
                <w:rFonts w:ascii="仿宋_GB2312" w:hAnsi="仿宋_GB2312" w:eastAsia="仿宋_GB2312" w:cs="仿宋_GB2312"/>
                <w:sz w:val="24"/>
                <w:szCs w:val="24"/>
              </w:rPr>
              <w:t>值班电话</w:t>
            </w:r>
          </w:p>
        </w:tc>
        <w:tc>
          <w:tcPr>
            <w:tcW w:w="2222" w:type="dxa"/>
          </w:tcPr>
          <w:p>
            <w:pPr>
              <w:spacing w:line="460" w:lineRule="exact"/>
              <w:ind w:firstLine="480"/>
              <w:rPr>
                <w:rFonts w:ascii="仿宋_GB2312" w:hAnsi="黑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460" w:lineRule="exact"/>
              <w:jc w:val="center"/>
              <w:rPr>
                <w:rFonts w:ascii="仿宋_GB2312" w:hAnsi="宋体" w:eastAsia="仿宋_GB2312" w:cs="宋体"/>
                <w:sz w:val="24"/>
                <w:szCs w:val="24"/>
              </w:rPr>
            </w:pPr>
            <w:r>
              <w:rPr>
                <w:rFonts w:hint="eastAsia" w:ascii="仿宋_GB2312" w:hAnsi="等线" w:eastAsia="仿宋_GB2312" w:cs="Times New Roman"/>
                <w:sz w:val="24"/>
                <w:szCs w:val="24"/>
              </w:rPr>
              <w:t>联络员</w:t>
            </w:r>
          </w:p>
        </w:tc>
        <w:tc>
          <w:tcPr>
            <w:tcW w:w="2411" w:type="dxa"/>
          </w:tcPr>
          <w:p>
            <w:pPr>
              <w:spacing w:line="460" w:lineRule="exact"/>
              <w:ind w:firstLine="480"/>
              <w:rPr>
                <w:rFonts w:ascii="仿宋_GB2312" w:hAnsi="黑体" w:eastAsia="仿宋_GB2312" w:cs="Times New Roman"/>
                <w:sz w:val="24"/>
                <w:szCs w:val="24"/>
              </w:rPr>
            </w:pPr>
          </w:p>
        </w:tc>
        <w:tc>
          <w:tcPr>
            <w:tcW w:w="2126" w:type="dxa"/>
            <w:vAlign w:val="center"/>
          </w:tcPr>
          <w:p>
            <w:pPr>
              <w:spacing w:line="460" w:lineRule="exact"/>
              <w:jc w:val="center"/>
              <w:rPr>
                <w:rFonts w:ascii="仿宋_GB2312" w:hAnsi="等线" w:eastAsia="仿宋_GB2312" w:cs="Times New Roman"/>
                <w:sz w:val="24"/>
                <w:szCs w:val="24"/>
              </w:rPr>
            </w:pPr>
            <w:r>
              <w:rPr>
                <w:rFonts w:hint="eastAsia" w:ascii="仿宋_GB2312" w:hAnsi="仿宋_GB2312" w:eastAsia="仿宋_GB2312" w:cs="仿宋_GB2312"/>
                <w:sz w:val="24"/>
                <w:szCs w:val="24"/>
              </w:rPr>
              <w:t>联系方式</w:t>
            </w:r>
          </w:p>
        </w:tc>
        <w:tc>
          <w:tcPr>
            <w:tcW w:w="2222" w:type="dxa"/>
          </w:tcPr>
          <w:p>
            <w:pPr>
              <w:spacing w:line="460" w:lineRule="exact"/>
              <w:ind w:firstLine="480"/>
              <w:rPr>
                <w:rFonts w:ascii="仿宋_GB2312" w:hAnsi="黑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460" w:lineRule="exact"/>
              <w:jc w:val="center"/>
              <w:rPr>
                <w:rFonts w:ascii="仿宋_GB2312" w:hAnsi="宋体" w:eastAsia="仿宋_GB2312" w:cs="宋体"/>
                <w:sz w:val="24"/>
                <w:szCs w:val="24"/>
              </w:rPr>
            </w:pPr>
            <w:r>
              <w:rPr>
                <w:rFonts w:hint="eastAsia" w:ascii="仿宋_GB2312" w:hAnsi="等线" w:eastAsia="仿宋_GB2312" w:cs="Times New Roman"/>
                <w:sz w:val="24"/>
                <w:szCs w:val="24"/>
              </w:rPr>
              <w:t>教职员工总人数</w:t>
            </w:r>
          </w:p>
        </w:tc>
        <w:tc>
          <w:tcPr>
            <w:tcW w:w="2411" w:type="dxa"/>
            <w:vAlign w:val="center"/>
          </w:tcPr>
          <w:p>
            <w:pPr>
              <w:spacing w:line="460" w:lineRule="exact"/>
              <w:jc w:val="center"/>
              <w:rPr>
                <w:rFonts w:ascii="仿宋_GB2312" w:hAnsi="宋体" w:eastAsia="仿宋_GB2312" w:cs="宋体"/>
                <w:sz w:val="24"/>
                <w:szCs w:val="24"/>
              </w:rPr>
            </w:pPr>
            <w:r>
              <w:rPr>
                <w:rFonts w:hint="eastAsia" w:ascii="仿宋_GB2312" w:hAnsi="等线" w:eastAsia="仿宋_GB2312" w:cs="Times New Roman"/>
                <w:sz w:val="24"/>
                <w:szCs w:val="24"/>
              </w:rPr>
              <w:t>复工人数</w:t>
            </w:r>
          </w:p>
        </w:tc>
        <w:tc>
          <w:tcPr>
            <w:tcW w:w="2126" w:type="dxa"/>
            <w:vAlign w:val="center"/>
          </w:tcPr>
          <w:p>
            <w:pPr>
              <w:spacing w:line="460" w:lineRule="exact"/>
              <w:rPr>
                <w:rFonts w:ascii="仿宋_GB2312" w:hAnsi="宋体" w:eastAsia="仿宋_GB2312" w:cs="宋体"/>
                <w:sz w:val="24"/>
                <w:szCs w:val="24"/>
              </w:rPr>
            </w:pPr>
            <w:r>
              <w:rPr>
                <w:rFonts w:hint="eastAsia" w:ascii="仿宋_GB2312" w:hAnsi="等线" w:eastAsia="仿宋_GB2312" w:cs="Times New Roman"/>
                <w:sz w:val="24"/>
                <w:szCs w:val="24"/>
              </w:rPr>
              <w:t>因疫情不能复工人数</w:t>
            </w:r>
          </w:p>
        </w:tc>
        <w:tc>
          <w:tcPr>
            <w:tcW w:w="2222" w:type="dxa"/>
            <w:vAlign w:val="center"/>
          </w:tcPr>
          <w:p>
            <w:pPr>
              <w:spacing w:line="460" w:lineRule="exact"/>
              <w:rPr>
                <w:rFonts w:ascii="仿宋_GB2312" w:hAnsi="等线" w:eastAsia="仿宋_GB2312" w:cs="Times New Roman"/>
                <w:sz w:val="24"/>
                <w:szCs w:val="24"/>
              </w:rPr>
            </w:pPr>
            <w:r>
              <w:rPr>
                <w:rFonts w:hint="eastAsia" w:ascii="仿宋_GB2312" w:hAnsi="等线" w:eastAsia="仿宋_GB2312" w:cs="Times New Roman"/>
                <w:sz w:val="24"/>
                <w:szCs w:val="24"/>
              </w:rPr>
              <w:t>其它原因不能复工人数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460" w:lineRule="exact"/>
              <w:ind w:firstLine="480"/>
              <w:rPr>
                <w:rFonts w:ascii="仿宋_GB2312" w:hAnsi="宋体" w:eastAsia="仿宋_GB2312" w:cs="宋体"/>
                <w:sz w:val="24"/>
                <w:szCs w:val="24"/>
              </w:rPr>
            </w:pPr>
          </w:p>
        </w:tc>
        <w:tc>
          <w:tcPr>
            <w:tcW w:w="2411" w:type="dxa"/>
          </w:tcPr>
          <w:p>
            <w:pPr>
              <w:spacing w:line="460" w:lineRule="exact"/>
              <w:ind w:firstLine="480"/>
              <w:rPr>
                <w:rFonts w:ascii="仿宋_GB2312" w:hAnsi="黑体" w:eastAsia="仿宋_GB2312" w:cs="Times New Roman"/>
                <w:sz w:val="24"/>
                <w:szCs w:val="24"/>
              </w:rPr>
            </w:pPr>
          </w:p>
        </w:tc>
        <w:tc>
          <w:tcPr>
            <w:tcW w:w="2126" w:type="dxa"/>
          </w:tcPr>
          <w:p>
            <w:pPr>
              <w:spacing w:line="460" w:lineRule="exact"/>
              <w:ind w:firstLine="480"/>
              <w:rPr>
                <w:rFonts w:ascii="仿宋_GB2312" w:hAnsi="黑体" w:eastAsia="仿宋_GB2312" w:cs="Times New Roman"/>
                <w:sz w:val="24"/>
                <w:szCs w:val="24"/>
              </w:rPr>
            </w:pPr>
          </w:p>
        </w:tc>
        <w:tc>
          <w:tcPr>
            <w:tcW w:w="2222" w:type="dxa"/>
          </w:tcPr>
          <w:p>
            <w:pPr>
              <w:spacing w:line="460" w:lineRule="exact"/>
              <w:ind w:firstLine="480"/>
              <w:rPr>
                <w:rFonts w:ascii="仿宋_GB2312" w:hAnsi="黑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460" w:lineRule="exact"/>
              <w:ind w:firstLine="480"/>
              <w:rPr>
                <w:rFonts w:ascii="仿宋_GB2312" w:hAnsi="宋体" w:eastAsia="仿宋_GB2312" w:cs="宋体"/>
                <w:sz w:val="24"/>
                <w:szCs w:val="24"/>
              </w:rPr>
            </w:pPr>
            <w:r>
              <w:rPr>
                <w:rFonts w:hint="eastAsia" w:ascii="仿宋_GB2312" w:hAnsi="等线" w:eastAsia="仿宋_GB2312" w:cs="Times New Roman"/>
                <w:sz w:val="24"/>
                <w:szCs w:val="24"/>
              </w:rPr>
              <w:t>学员总人数</w:t>
            </w:r>
          </w:p>
        </w:tc>
        <w:tc>
          <w:tcPr>
            <w:tcW w:w="2411" w:type="dxa"/>
            <w:vAlign w:val="center"/>
          </w:tcPr>
          <w:p>
            <w:pPr>
              <w:spacing w:line="460" w:lineRule="exact"/>
              <w:jc w:val="center"/>
              <w:rPr>
                <w:rFonts w:ascii="仿宋_GB2312" w:hAnsi="宋体" w:eastAsia="仿宋_GB2312" w:cs="宋体"/>
                <w:sz w:val="24"/>
                <w:szCs w:val="24"/>
              </w:rPr>
            </w:pPr>
            <w:r>
              <w:rPr>
                <w:rFonts w:hint="eastAsia" w:ascii="仿宋_GB2312" w:hAnsi="等线" w:eastAsia="仿宋_GB2312" w:cs="Times New Roman"/>
                <w:sz w:val="24"/>
                <w:szCs w:val="24"/>
              </w:rPr>
              <w:t>参训学员人数</w:t>
            </w:r>
          </w:p>
        </w:tc>
        <w:tc>
          <w:tcPr>
            <w:tcW w:w="2126" w:type="dxa"/>
            <w:vAlign w:val="center"/>
          </w:tcPr>
          <w:p>
            <w:pPr>
              <w:spacing w:line="460" w:lineRule="exact"/>
              <w:rPr>
                <w:rFonts w:ascii="仿宋_GB2312" w:hAnsi="宋体" w:eastAsia="仿宋_GB2312" w:cs="宋体"/>
                <w:sz w:val="24"/>
                <w:szCs w:val="24"/>
              </w:rPr>
            </w:pPr>
            <w:r>
              <w:rPr>
                <w:rFonts w:hint="eastAsia" w:ascii="仿宋_GB2312" w:hAnsi="等线" w:eastAsia="仿宋_GB2312" w:cs="Times New Roman"/>
                <w:sz w:val="24"/>
                <w:szCs w:val="24"/>
              </w:rPr>
              <w:t>因疫情不能参训人数</w:t>
            </w:r>
          </w:p>
        </w:tc>
        <w:tc>
          <w:tcPr>
            <w:tcW w:w="2222" w:type="dxa"/>
            <w:vAlign w:val="center"/>
          </w:tcPr>
          <w:p>
            <w:pPr>
              <w:spacing w:line="460" w:lineRule="exact"/>
              <w:rPr>
                <w:rFonts w:ascii="仿宋_GB2312" w:hAnsi="等线" w:eastAsia="仿宋_GB2312" w:cs="Times New Roman"/>
                <w:sz w:val="24"/>
                <w:szCs w:val="24"/>
              </w:rPr>
            </w:pPr>
            <w:r>
              <w:rPr>
                <w:rFonts w:hint="eastAsia" w:ascii="仿宋_GB2312" w:hAnsi="等线" w:eastAsia="仿宋_GB2312" w:cs="Times New Roman"/>
                <w:sz w:val="24"/>
                <w:szCs w:val="24"/>
              </w:rPr>
              <w:t>因其它原因不能参训人数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460" w:lineRule="exact"/>
              <w:ind w:firstLine="480"/>
              <w:jc w:val="center"/>
              <w:rPr>
                <w:rFonts w:ascii="仿宋_GB2312" w:hAnsi="等线" w:eastAsia="仿宋_GB2312" w:cs="Times New Roman"/>
                <w:sz w:val="24"/>
                <w:szCs w:val="24"/>
              </w:rPr>
            </w:pPr>
          </w:p>
        </w:tc>
        <w:tc>
          <w:tcPr>
            <w:tcW w:w="2411" w:type="dxa"/>
          </w:tcPr>
          <w:p>
            <w:pPr>
              <w:spacing w:line="460" w:lineRule="exact"/>
              <w:ind w:firstLine="480"/>
              <w:jc w:val="center"/>
              <w:rPr>
                <w:rFonts w:ascii="仿宋_GB2312" w:hAnsi="黑体" w:eastAsia="仿宋_GB2312" w:cs="Times New Roman"/>
                <w:sz w:val="24"/>
                <w:szCs w:val="24"/>
              </w:rPr>
            </w:pPr>
          </w:p>
        </w:tc>
        <w:tc>
          <w:tcPr>
            <w:tcW w:w="2126" w:type="dxa"/>
          </w:tcPr>
          <w:p>
            <w:pPr>
              <w:spacing w:line="460" w:lineRule="exact"/>
              <w:ind w:firstLine="480"/>
              <w:jc w:val="center"/>
              <w:rPr>
                <w:rFonts w:ascii="仿宋_GB2312" w:hAnsi="黑体" w:eastAsia="仿宋_GB2312" w:cs="Times New Roman"/>
                <w:sz w:val="24"/>
                <w:szCs w:val="24"/>
              </w:rPr>
            </w:pPr>
          </w:p>
        </w:tc>
        <w:tc>
          <w:tcPr>
            <w:tcW w:w="2222" w:type="dxa"/>
          </w:tcPr>
          <w:p>
            <w:pPr>
              <w:spacing w:line="460" w:lineRule="exact"/>
              <w:ind w:firstLine="480"/>
              <w:jc w:val="center"/>
              <w:rPr>
                <w:rFonts w:ascii="仿宋_GB2312" w:hAnsi="黑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rPr>
                <w:rFonts w:ascii="仿宋_GB2312" w:hAnsi="宋体" w:eastAsia="仿宋_GB2312" w:cs="宋体"/>
                <w:sz w:val="24"/>
                <w:szCs w:val="24"/>
              </w:rPr>
            </w:pPr>
            <w:r>
              <w:rPr>
                <w:rFonts w:hint="eastAsia" w:ascii="仿宋_GB2312" w:hAnsi="等线" w:eastAsia="仿宋_GB2312" w:cs="Times New Roman"/>
                <w:sz w:val="24"/>
                <w:szCs w:val="24"/>
              </w:rPr>
              <w:t>线下培训计划情况（学员类别、复课时间、分批、分层、分班错峰情况）</w:t>
            </w:r>
          </w:p>
        </w:tc>
        <w:tc>
          <w:tcPr>
            <w:tcW w:w="6759" w:type="dxa"/>
            <w:gridSpan w:val="3"/>
          </w:tcPr>
          <w:p>
            <w:pPr>
              <w:spacing w:line="460" w:lineRule="exact"/>
              <w:ind w:firstLine="480"/>
              <w:jc w:val="center"/>
              <w:rPr>
                <w:rFonts w:ascii="仿宋_GB2312" w:hAnsi="黑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59" w:type="dxa"/>
            <w:gridSpan w:val="2"/>
          </w:tcPr>
          <w:p>
            <w:pPr>
              <w:spacing w:line="460" w:lineRule="exact"/>
              <w:rPr>
                <w:rFonts w:ascii="仿宋_GB2312" w:hAnsi="黑体" w:eastAsia="仿宋_GB2312" w:cs="Times New Roman"/>
                <w:sz w:val="24"/>
                <w:szCs w:val="24"/>
              </w:rPr>
            </w:pPr>
            <w:r>
              <w:rPr>
                <w:rFonts w:hint="eastAsia" w:ascii="仿宋_GB2312" w:hAnsi="等线" w:eastAsia="仿宋_GB2312" w:cs="Times New Roman"/>
                <w:sz w:val="24"/>
                <w:szCs w:val="24"/>
              </w:rPr>
              <w:t>落实新冠肺炎疫情防控措施清单</w:t>
            </w:r>
          </w:p>
        </w:tc>
        <w:tc>
          <w:tcPr>
            <w:tcW w:w="4348" w:type="dxa"/>
            <w:gridSpan w:val="2"/>
          </w:tcPr>
          <w:p>
            <w:pPr>
              <w:spacing w:line="460" w:lineRule="exact"/>
              <w:ind w:firstLine="480"/>
              <w:jc w:val="center"/>
              <w:rPr>
                <w:rFonts w:ascii="仿宋_GB2312" w:hAnsi="黑体" w:eastAsia="仿宋_GB2312" w:cs="Times New Roman"/>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是</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atLeast"/>
          <w:jc w:val="center"/>
        </w:trPr>
        <w:tc>
          <w:tcPr>
            <w:tcW w:w="4859" w:type="dxa"/>
            <w:gridSpan w:val="2"/>
          </w:tcPr>
          <w:p>
            <w:pPr>
              <w:autoSpaceDE w:val="0"/>
              <w:autoSpaceDN w:val="0"/>
              <w:ind w:right="207"/>
              <w:rPr>
                <w:rFonts w:ascii="仿宋_GB2312" w:hAnsi="仿宋_GB2312" w:eastAsia="仿宋_GB2312" w:cs="仿宋_GB2312"/>
                <w:sz w:val="24"/>
                <w:szCs w:val="24"/>
              </w:rPr>
            </w:pPr>
            <w:r>
              <w:rPr>
                <w:rFonts w:hint="eastAsia" w:ascii="仿宋_GB2312" w:hAnsi="仿宋_GB2312" w:eastAsia="仿宋_GB2312" w:cs="仿宋_GB2312"/>
                <w:sz w:val="24"/>
                <w:szCs w:val="24"/>
              </w:rPr>
              <w:t>区新冠肺炎疫情防控指挥部学生返校工作专班评估验收意见</w:t>
            </w:r>
            <w:r>
              <w:rPr>
                <w:rFonts w:hint="eastAsia" w:ascii="仿宋_GB2312" w:hAnsi="Times New Roman" w:eastAsia="仿宋_GB2312"/>
                <w:color w:val="000000"/>
                <w:sz w:val="24"/>
                <w:szCs w:val="24"/>
              </w:rPr>
              <w:t>（是否符合学生返校条件和整改具体项目</w:t>
            </w:r>
            <w:r>
              <w:rPr>
                <w:rFonts w:hint="eastAsia" w:ascii="仿宋_GB2312" w:hAnsi="Times New Roman" w:eastAsia="仿宋_GB2312"/>
                <w:color w:val="000000"/>
                <w:szCs w:val="21"/>
              </w:rPr>
              <w:t>）</w:t>
            </w:r>
            <w:r>
              <w:rPr>
                <w:rFonts w:hint="eastAsia" w:ascii="仿宋_GB2312" w:hAnsi="仿宋_GB2312" w:eastAsia="仿宋_GB2312" w:cs="仿宋_GB2312"/>
                <w:sz w:val="24"/>
                <w:szCs w:val="24"/>
              </w:rPr>
              <w:t>：</w:t>
            </w:r>
          </w:p>
          <w:p>
            <w:pPr>
              <w:spacing w:line="460" w:lineRule="exact"/>
              <w:ind w:firstLine="480"/>
              <w:jc w:val="center"/>
              <w:rPr>
                <w:rFonts w:ascii="仿宋_GB2312" w:hAnsi="黑体" w:eastAsia="仿宋_GB2312" w:cs="Times New Roman"/>
                <w:sz w:val="24"/>
                <w:szCs w:val="24"/>
              </w:rPr>
            </w:pPr>
            <w:r>
              <w:rPr>
                <w:rFonts w:hint="eastAsia" w:ascii="仿宋_GB2312" w:hAnsi="黑体" w:eastAsia="仿宋_GB2312" w:cs="Times New Roman"/>
                <w:sz w:val="24"/>
                <w:szCs w:val="24"/>
              </w:rPr>
              <w:t xml:space="preserve">       </w:t>
            </w:r>
          </w:p>
          <w:p>
            <w:pPr>
              <w:spacing w:line="460" w:lineRule="exact"/>
              <w:ind w:firstLine="480"/>
              <w:jc w:val="center"/>
              <w:rPr>
                <w:rFonts w:ascii="仿宋_GB2312" w:hAnsi="仿宋_GB2312" w:eastAsia="仿宋_GB2312" w:cs="仿宋_GB2312"/>
                <w:sz w:val="24"/>
                <w:szCs w:val="24"/>
              </w:rPr>
            </w:pPr>
            <w:r>
              <w:rPr>
                <w:rFonts w:hint="eastAsia" w:ascii="仿宋_GB2312" w:hAnsi="黑体" w:eastAsia="仿宋_GB2312" w:cs="Times New Roman"/>
                <w:sz w:val="24"/>
                <w:szCs w:val="24"/>
              </w:rPr>
              <w:t xml:space="preserve">                  </w:t>
            </w:r>
            <w:r>
              <w:rPr>
                <w:rFonts w:hint="eastAsia" w:ascii="仿宋_GB2312" w:hAnsi="仿宋_GB2312" w:eastAsia="仿宋_GB2312" w:cs="仿宋_GB2312"/>
                <w:sz w:val="24"/>
                <w:szCs w:val="24"/>
              </w:rPr>
              <w:t>（盖章）</w:t>
            </w:r>
          </w:p>
          <w:p>
            <w:pPr>
              <w:spacing w:line="460" w:lineRule="exact"/>
              <w:ind w:firstLine="480"/>
              <w:jc w:val="center"/>
              <w:rPr>
                <w:rFonts w:ascii="仿宋_GB2312" w:hAnsi="黑体" w:eastAsia="仿宋_GB2312" w:cs="Times New Roman"/>
                <w:sz w:val="24"/>
                <w:szCs w:val="24"/>
              </w:rPr>
            </w:pPr>
            <w:r>
              <w:rPr>
                <w:rFonts w:hint="eastAsia" w:ascii="仿宋_GB2312" w:hAnsi="黑体" w:eastAsia="仿宋_GB2312" w:cs="Times New Roman"/>
                <w:sz w:val="24"/>
                <w:szCs w:val="24"/>
              </w:rPr>
              <w:t xml:space="preserve">                  年</w:t>
            </w:r>
            <w:r>
              <w:rPr>
                <w:rFonts w:ascii="仿宋_GB2312" w:hAnsi="黑体" w:eastAsia="仿宋_GB2312" w:cs="Times New Roman"/>
                <w:sz w:val="24"/>
                <w:szCs w:val="24"/>
              </w:rPr>
              <w:t xml:space="preserve">   </w:t>
            </w:r>
            <w:r>
              <w:rPr>
                <w:rFonts w:hint="eastAsia" w:ascii="仿宋_GB2312" w:hAnsi="黑体" w:eastAsia="仿宋_GB2312" w:cs="Times New Roman"/>
                <w:sz w:val="24"/>
                <w:szCs w:val="24"/>
              </w:rPr>
              <w:t>月</w:t>
            </w:r>
            <w:r>
              <w:rPr>
                <w:rFonts w:ascii="仿宋_GB2312" w:hAnsi="黑体" w:eastAsia="仿宋_GB2312" w:cs="Times New Roman"/>
                <w:sz w:val="24"/>
                <w:szCs w:val="24"/>
              </w:rPr>
              <w:t xml:space="preserve">   </w:t>
            </w:r>
            <w:r>
              <w:rPr>
                <w:rFonts w:hint="eastAsia" w:ascii="仿宋_GB2312" w:hAnsi="黑体" w:eastAsia="仿宋_GB2312" w:cs="Times New Roman"/>
                <w:sz w:val="24"/>
                <w:szCs w:val="24"/>
              </w:rPr>
              <w:t>日</w:t>
            </w:r>
            <w:r>
              <w:rPr>
                <w:rFonts w:hint="eastAsia" w:ascii="仿宋_GB2312" w:hAnsi="仿宋_GB2312" w:eastAsia="仿宋_GB2312" w:cs="仿宋_GB2312"/>
                <w:sz w:val="24"/>
                <w:szCs w:val="24"/>
              </w:rPr>
              <w:t xml:space="preserve">                </w:t>
            </w:r>
          </w:p>
        </w:tc>
        <w:tc>
          <w:tcPr>
            <w:tcW w:w="4348" w:type="dxa"/>
            <w:gridSpan w:val="2"/>
          </w:tcPr>
          <w:p>
            <w:pPr>
              <w:autoSpaceDE w:val="0"/>
              <w:autoSpaceDN w:val="0"/>
              <w:ind w:right="207"/>
              <w:rPr>
                <w:rFonts w:ascii="仿宋_GB2312" w:hAnsi="仿宋_GB2312" w:eastAsia="仿宋_GB2312" w:cs="仿宋_GB2312"/>
                <w:sz w:val="24"/>
                <w:szCs w:val="24"/>
              </w:rPr>
            </w:pPr>
            <w:r>
              <w:rPr>
                <w:rFonts w:hint="eastAsia" w:ascii="仿宋_GB2312" w:hAnsi="仿宋_GB2312" w:eastAsia="仿宋_GB2312" w:cs="仿宋_GB2312"/>
                <w:sz w:val="24"/>
                <w:szCs w:val="24"/>
              </w:rPr>
              <w:t>市新冠肺炎疫情防控指挥部学生返校工作专班审批意见：</w:t>
            </w:r>
          </w:p>
          <w:p>
            <w:pPr>
              <w:spacing w:line="460" w:lineRule="exact"/>
              <w:ind w:firstLine="480"/>
              <w:rPr>
                <w:rFonts w:ascii="仿宋_GB2312" w:hAnsi="黑体" w:eastAsia="仿宋_GB2312" w:cs="Times New Roman"/>
                <w:sz w:val="24"/>
                <w:szCs w:val="24"/>
              </w:rPr>
            </w:pPr>
          </w:p>
          <w:p>
            <w:pPr>
              <w:spacing w:line="460" w:lineRule="exact"/>
              <w:ind w:firstLine="480"/>
              <w:jc w:val="center"/>
              <w:rPr>
                <w:rFonts w:ascii="仿宋_GB2312" w:hAnsi="黑体" w:eastAsia="仿宋_GB2312" w:cs="Times New Roman"/>
                <w:sz w:val="24"/>
                <w:szCs w:val="24"/>
              </w:rPr>
            </w:pPr>
            <w:r>
              <w:rPr>
                <w:rFonts w:hint="eastAsia" w:ascii="仿宋_GB2312" w:hAnsi="黑体" w:eastAsia="仿宋_GB2312" w:cs="Times New Roman"/>
                <w:sz w:val="24"/>
                <w:szCs w:val="24"/>
              </w:rPr>
              <w:t xml:space="preserve">               </w:t>
            </w:r>
          </w:p>
          <w:p>
            <w:pPr>
              <w:spacing w:line="460" w:lineRule="exact"/>
              <w:ind w:firstLine="480"/>
              <w:jc w:val="center"/>
              <w:rPr>
                <w:rFonts w:ascii="仿宋_GB2312" w:hAnsi="仿宋_GB2312" w:eastAsia="仿宋_GB2312" w:cs="仿宋_GB2312"/>
                <w:sz w:val="24"/>
                <w:szCs w:val="24"/>
              </w:rPr>
            </w:pPr>
            <w:r>
              <w:rPr>
                <w:rFonts w:hint="eastAsia" w:ascii="仿宋_GB2312" w:hAnsi="黑体" w:eastAsia="仿宋_GB2312" w:cs="Times New Roman"/>
                <w:sz w:val="24"/>
                <w:szCs w:val="24"/>
              </w:rPr>
              <w:t xml:space="preserve">              </w:t>
            </w:r>
            <w:r>
              <w:rPr>
                <w:rFonts w:hint="eastAsia" w:ascii="仿宋_GB2312" w:hAnsi="仿宋_GB2312" w:eastAsia="仿宋_GB2312" w:cs="仿宋_GB2312"/>
                <w:sz w:val="24"/>
                <w:szCs w:val="24"/>
              </w:rPr>
              <w:t>（盖章）</w:t>
            </w:r>
          </w:p>
          <w:p>
            <w:pPr>
              <w:spacing w:line="460" w:lineRule="exact"/>
              <w:ind w:firstLine="480"/>
              <w:jc w:val="center"/>
              <w:rPr>
                <w:rFonts w:ascii="仿宋_GB2312" w:hAnsi="黑体" w:eastAsia="仿宋_GB2312" w:cs="Times New Roman"/>
                <w:sz w:val="24"/>
                <w:szCs w:val="24"/>
              </w:rPr>
            </w:pPr>
            <w:r>
              <w:rPr>
                <w:rFonts w:hint="eastAsia" w:ascii="仿宋_GB2312" w:hAnsi="黑体" w:eastAsia="仿宋_GB2312" w:cs="Times New Roman"/>
                <w:sz w:val="24"/>
                <w:szCs w:val="24"/>
              </w:rPr>
              <w:t xml:space="preserve">                  年</w:t>
            </w:r>
            <w:r>
              <w:rPr>
                <w:rFonts w:ascii="仿宋_GB2312" w:hAnsi="黑体" w:eastAsia="仿宋_GB2312" w:cs="Times New Roman"/>
                <w:sz w:val="24"/>
                <w:szCs w:val="24"/>
              </w:rPr>
              <w:t xml:space="preserve">   </w:t>
            </w:r>
            <w:r>
              <w:rPr>
                <w:rFonts w:hint="eastAsia" w:ascii="仿宋_GB2312" w:hAnsi="黑体" w:eastAsia="仿宋_GB2312" w:cs="Times New Roman"/>
                <w:sz w:val="24"/>
                <w:szCs w:val="24"/>
              </w:rPr>
              <w:t>月</w:t>
            </w:r>
            <w:r>
              <w:rPr>
                <w:rFonts w:ascii="仿宋_GB2312" w:hAnsi="黑体" w:eastAsia="仿宋_GB2312" w:cs="Times New Roman"/>
                <w:sz w:val="24"/>
                <w:szCs w:val="24"/>
              </w:rPr>
              <w:t xml:space="preserve">   </w:t>
            </w:r>
            <w:r>
              <w:rPr>
                <w:rFonts w:hint="eastAsia" w:ascii="仿宋_GB2312" w:hAnsi="黑体" w:eastAsia="仿宋_GB2312" w:cs="Times New Roman"/>
                <w:sz w:val="24"/>
                <w:szCs w:val="24"/>
              </w:rPr>
              <w:t>日</w:t>
            </w:r>
          </w:p>
        </w:tc>
      </w:tr>
    </w:tbl>
    <w:p>
      <w:pPr>
        <w:spacing w:line="300" w:lineRule="exact"/>
        <w:ind w:firstLine="480" w:firstLineChars="200"/>
        <w:rPr>
          <w:rFonts w:ascii="仿宋_GB2312" w:hAnsi="黑体" w:eastAsia="仿宋_GB2312" w:cs="Times New Roman"/>
          <w:sz w:val="24"/>
          <w:szCs w:val="24"/>
        </w:rPr>
        <w:sectPr>
          <w:footerReference r:id="rId3" w:type="default"/>
          <w:pgSz w:w="11906" w:h="16838"/>
          <w:pgMar w:top="2268" w:right="1474" w:bottom="1701" w:left="1587" w:header="851" w:footer="992" w:gutter="0"/>
          <w:cols w:space="0" w:num="1"/>
          <w:titlePg/>
          <w:docGrid w:type="lines" w:linePitch="312" w:charSpace="0"/>
        </w:sectPr>
      </w:pPr>
      <w:r>
        <w:rPr>
          <w:rFonts w:hint="eastAsia" w:ascii="仿宋_GB2312" w:hAnsi="黑体" w:eastAsia="仿宋_GB2312" w:cs="Times New Roman"/>
          <w:sz w:val="24"/>
          <w:szCs w:val="24"/>
        </w:rPr>
        <w:t>备注：</w:t>
      </w:r>
      <w:r>
        <w:rPr>
          <w:rFonts w:ascii="仿宋_GB2312" w:hAnsi="黑体" w:eastAsia="仿宋_GB2312" w:cs="Times New Roman"/>
          <w:sz w:val="24"/>
          <w:szCs w:val="24"/>
        </w:rPr>
        <w:t>1.因疫情不能</w:t>
      </w:r>
      <w:r>
        <w:rPr>
          <w:rFonts w:hint="eastAsia" w:ascii="仿宋_GB2312" w:hAnsi="黑体" w:eastAsia="仿宋_GB2312" w:cs="Times New Roman"/>
          <w:sz w:val="24"/>
          <w:szCs w:val="24"/>
        </w:rPr>
        <w:t>返工或参训</w:t>
      </w:r>
      <w:r>
        <w:rPr>
          <w:rFonts w:ascii="仿宋_GB2312" w:hAnsi="黑体" w:eastAsia="仿宋_GB2312" w:cs="Times New Roman"/>
          <w:sz w:val="24"/>
          <w:szCs w:val="24"/>
        </w:rPr>
        <w:t>人数为：深圳以外返回居住地后（或疫情高发地区（含境内、外））居家隔离不足14天;确诊病人，疑似病人;正在实施医学观察的无症状感染者、密切接触者、治愈出院确诊病人。</w:t>
      </w:r>
      <w:r>
        <w:rPr>
          <w:rFonts w:hint="eastAsia" w:ascii="仿宋_GB2312" w:hAnsi="黑体" w:eastAsia="仿宋_GB2312" w:cs="Times New Roman"/>
          <w:sz w:val="24"/>
          <w:szCs w:val="24"/>
        </w:rPr>
        <w:t>2.本表由机构填写，报区学生返校专班评估验收合格后，连同附件3-3报市学生返校专班。</w:t>
      </w:r>
    </w:p>
    <w:p>
      <w:pPr>
        <w:widowControl/>
        <w:spacing w:line="580" w:lineRule="exact"/>
        <w:ind w:right="6"/>
        <w:jc w:val="left"/>
        <w:rPr>
          <w:rFonts w:ascii="黑体" w:hAnsi="黑体" w:eastAsia="黑体" w:cs="黑体"/>
          <w:bCs/>
          <w:sz w:val="36"/>
          <w:szCs w:val="36"/>
        </w:rPr>
      </w:pPr>
      <w:bookmarkStart w:id="4" w:name="_深圳市中小学（幼儿园）开学前疫情防控措施清单"/>
      <w:bookmarkEnd w:id="4"/>
      <w:bookmarkStart w:id="5" w:name="_深圳市中小学校（幼儿园）开学后疫情防控措施清单"/>
      <w:bookmarkEnd w:id="5"/>
      <w:r>
        <w:rPr>
          <w:rFonts w:hint="eastAsia" w:ascii="黑体" w:hAnsi="黑体" w:eastAsia="黑体" w:cs="黑体"/>
          <w:bCs/>
          <w:sz w:val="36"/>
          <w:szCs w:val="36"/>
        </w:rPr>
        <w:t>附件3-3</w:t>
      </w:r>
    </w:p>
    <w:p>
      <w:pPr>
        <w:widowControl/>
        <w:spacing w:line="580" w:lineRule="exact"/>
        <w:ind w:right="6" w:firstLine="360" w:firstLineChars="100"/>
        <w:jc w:val="center"/>
        <w:rPr>
          <w:rFonts w:ascii="仿宋_GB2312" w:hAnsi="Times New Roman" w:eastAsia="仿宋_GB2312"/>
          <w:sz w:val="36"/>
          <w:szCs w:val="36"/>
        </w:rPr>
      </w:pPr>
      <w:r>
        <w:rPr>
          <w:rFonts w:hint="eastAsia" w:ascii="Times New Roman" w:hAnsi="Times New Roman" w:eastAsia="方正小标宋简体"/>
          <w:sz w:val="36"/>
          <w:szCs w:val="36"/>
        </w:rPr>
        <w:t>深圳市校外培训机构开展线下培训疫情防控措施</w:t>
      </w:r>
    </w:p>
    <w:p>
      <w:pPr>
        <w:snapToGrid w:val="0"/>
        <w:spacing w:line="58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w:t>
      </w:r>
    </w:p>
    <w:tbl>
      <w:tblPr>
        <w:tblStyle w:val="13"/>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693"/>
        <w:gridCol w:w="722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napToGrid w:val="0"/>
              <w:spacing w:line="5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tc>
        <w:tc>
          <w:tcPr>
            <w:tcW w:w="2693" w:type="dxa"/>
            <w:vAlign w:val="center"/>
          </w:tcPr>
          <w:p>
            <w:pPr>
              <w:snapToGrid w:val="0"/>
              <w:spacing w:line="5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工作要求</w:t>
            </w:r>
          </w:p>
        </w:tc>
        <w:tc>
          <w:tcPr>
            <w:tcW w:w="7229" w:type="dxa"/>
            <w:vAlign w:val="center"/>
          </w:tcPr>
          <w:p>
            <w:pPr>
              <w:snapToGrid w:val="0"/>
              <w:spacing w:line="58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具体措施</w:t>
            </w:r>
          </w:p>
        </w:tc>
        <w:tc>
          <w:tcPr>
            <w:tcW w:w="1985" w:type="dxa"/>
            <w:vAlign w:val="center"/>
          </w:tcPr>
          <w:p>
            <w:pPr>
              <w:widowControl/>
              <w:snapToGrid w:val="0"/>
              <w:spacing w:line="58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restart"/>
            <w:vAlign w:val="center"/>
          </w:tcPr>
          <w:p>
            <w:pPr>
              <w:snapToGrid w:val="0"/>
              <w:spacing w:line="58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线下培训前准备</w:t>
            </w:r>
          </w:p>
        </w:tc>
        <w:tc>
          <w:tcPr>
            <w:tcW w:w="2693" w:type="dxa"/>
            <w:vMerge w:val="restart"/>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落实机构主体责任</w:t>
            </w:r>
          </w:p>
        </w:tc>
        <w:tc>
          <w:tcPr>
            <w:tcW w:w="7229"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制定疫情防控工作应急预案</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Pr>
          <w:p>
            <w:pPr>
              <w:snapToGrid w:val="0"/>
              <w:spacing w:line="580" w:lineRule="exact"/>
              <w:ind w:firstLine="120" w:firstLineChars="50"/>
              <w:jc w:val="center"/>
              <w:rPr>
                <w:rFonts w:ascii="仿宋_GB2312" w:hAnsi="仿宋_GB2312" w:eastAsia="仿宋_GB2312" w:cs="仿宋_GB2312"/>
                <w:b/>
                <w:sz w:val="24"/>
                <w:szCs w:val="24"/>
              </w:rPr>
            </w:pPr>
          </w:p>
        </w:tc>
        <w:tc>
          <w:tcPr>
            <w:tcW w:w="2693" w:type="dxa"/>
            <w:vMerge w:val="continue"/>
            <w:vAlign w:val="center"/>
          </w:tcPr>
          <w:p>
            <w:pPr>
              <w:snapToGrid w:val="0"/>
              <w:spacing w:line="580" w:lineRule="exact"/>
              <w:jc w:val="center"/>
              <w:rPr>
                <w:rFonts w:ascii="仿宋_GB2312" w:hAnsi="仿宋_GB2312" w:eastAsia="仿宋_GB2312" w:cs="仿宋_GB2312"/>
                <w:sz w:val="24"/>
                <w:szCs w:val="24"/>
              </w:rPr>
            </w:pPr>
          </w:p>
        </w:tc>
        <w:tc>
          <w:tcPr>
            <w:tcW w:w="7229"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将责任分解到各部门、岗位、人员</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Pr>
          <w:p>
            <w:pPr>
              <w:snapToGrid w:val="0"/>
              <w:spacing w:line="580" w:lineRule="exact"/>
              <w:ind w:firstLine="120" w:firstLineChars="50"/>
              <w:jc w:val="center"/>
              <w:rPr>
                <w:rFonts w:ascii="仿宋_GB2312" w:hAnsi="仿宋_GB2312" w:eastAsia="仿宋_GB2312" w:cs="仿宋_GB2312"/>
                <w:b/>
                <w:sz w:val="24"/>
                <w:szCs w:val="24"/>
              </w:rPr>
            </w:pPr>
          </w:p>
        </w:tc>
        <w:tc>
          <w:tcPr>
            <w:tcW w:w="2693" w:type="dxa"/>
            <w:vMerge w:val="restart"/>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主动对接属地防控部门</w:t>
            </w:r>
          </w:p>
        </w:tc>
        <w:tc>
          <w:tcPr>
            <w:tcW w:w="7229"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主动纳入社区“三位一体”管理</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Pr>
          <w:p>
            <w:pPr>
              <w:snapToGrid w:val="0"/>
              <w:spacing w:line="580" w:lineRule="exact"/>
              <w:ind w:firstLine="120" w:firstLineChars="50"/>
              <w:jc w:val="center"/>
              <w:rPr>
                <w:rFonts w:ascii="仿宋_GB2312" w:hAnsi="仿宋_GB2312" w:eastAsia="仿宋_GB2312" w:cs="仿宋_GB2312"/>
                <w:b/>
                <w:sz w:val="24"/>
                <w:szCs w:val="24"/>
              </w:rPr>
            </w:pPr>
          </w:p>
        </w:tc>
        <w:tc>
          <w:tcPr>
            <w:tcW w:w="2693" w:type="dxa"/>
            <w:vMerge w:val="continue"/>
            <w:vAlign w:val="center"/>
          </w:tcPr>
          <w:p>
            <w:pPr>
              <w:snapToGrid w:val="0"/>
              <w:spacing w:line="580" w:lineRule="exact"/>
              <w:jc w:val="center"/>
              <w:rPr>
                <w:rFonts w:ascii="仿宋_GB2312" w:hAnsi="仿宋_GB2312" w:eastAsia="仿宋_GB2312" w:cs="仿宋_GB2312"/>
                <w:sz w:val="24"/>
                <w:szCs w:val="24"/>
              </w:rPr>
            </w:pPr>
          </w:p>
        </w:tc>
        <w:tc>
          <w:tcPr>
            <w:tcW w:w="7229"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了解属地疾控机构、社康中心等联系人及电话</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Pr>
          <w:p>
            <w:pPr>
              <w:snapToGrid w:val="0"/>
              <w:spacing w:line="580" w:lineRule="exact"/>
              <w:ind w:firstLine="120" w:firstLineChars="50"/>
              <w:jc w:val="center"/>
              <w:rPr>
                <w:rFonts w:ascii="仿宋_GB2312" w:hAnsi="仿宋_GB2312" w:eastAsia="仿宋_GB2312" w:cs="仿宋_GB2312"/>
                <w:b/>
                <w:sz w:val="24"/>
                <w:szCs w:val="24"/>
              </w:rPr>
            </w:pPr>
          </w:p>
        </w:tc>
        <w:tc>
          <w:tcPr>
            <w:tcW w:w="2693"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储备充足防疫物资</w:t>
            </w:r>
          </w:p>
        </w:tc>
        <w:tc>
          <w:tcPr>
            <w:tcW w:w="7229"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有足量口罩、测温仪、消毒液、洗手液、免洗手消毒液等</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Pr>
          <w:p>
            <w:pPr>
              <w:snapToGrid w:val="0"/>
              <w:spacing w:line="580" w:lineRule="exact"/>
              <w:ind w:firstLine="120" w:firstLineChars="50"/>
              <w:jc w:val="center"/>
              <w:rPr>
                <w:rFonts w:ascii="仿宋_GB2312" w:hAnsi="仿宋_GB2312" w:eastAsia="仿宋_GB2312" w:cs="仿宋_GB2312"/>
                <w:b/>
                <w:sz w:val="24"/>
                <w:szCs w:val="24"/>
              </w:rPr>
            </w:pPr>
          </w:p>
        </w:tc>
        <w:tc>
          <w:tcPr>
            <w:tcW w:w="2693" w:type="dxa"/>
            <w:vMerge w:val="restart"/>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掌握员工（学员）情况</w:t>
            </w:r>
          </w:p>
        </w:tc>
        <w:tc>
          <w:tcPr>
            <w:tcW w:w="7229"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eastAsia="仿宋_GB2312" w:cs="仿宋_GB2312"/>
                <w:kern w:val="0"/>
                <w:sz w:val="24"/>
                <w:szCs w:val="24"/>
              </w:rPr>
              <w:t>核查机构人员教职员工及学员行踪</w:t>
            </w:r>
            <w:r>
              <w:rPr>
                <w:rFonts w:hint="eastAsia" w:ascii="仿宋_GB2312" w:hAnsi="Times New Roman" w:eastAsia="仿宋_GB2312" w:cs="Times New Roman"/>
                <w:sz w:val="24"/>
                <w:szCs w:val="24"/>
              </w:rPr>
              <w:t>和</w:t>
            </w:r>
            <w:r>
              <w:rPr>
                <w:rFonts w:hint="eastAsia" w:ascii="仿宋_GB2312" w:eastAsia="仿宋_GB2312" w:cs="仿宋_GB2312"/>
                <w:kern w:val="0"/>
                <w:sz w:val="24"/>
                <w:szCs w:val="24"/>
              </w:rPr>
              <w:t>健康状况。</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Pr>
          <w:p>
            <w:pPr>
              <w:snapToGrid w:val="0"/>
              <w:spacing w:line="580" w:lineRule="exact"/>
              <w:jc w:val="center"/>
              <w:rPr>
                <w:rFonts w:ascii="仿宋_GB2312" w:hAnsi="仿宋_GB2312" w:eastAsia="仿宋_GB2312" w:cs="仿宋_GB2312"/>
                <w:b/>
                <w:sz w:val="24"/>
                <w:szCs w:val="24"/>
              </w:rPr>
            </w:pPr>
          </w:p>
        </w:tc>
        <w:tc>
          <w:tcPr>
            <w:tcW w:w="2693" w:type="dxa"/>
            <w:vMerge w:val="continue"/>
            <w:vAlign w:val="center"/>
          </w:tcPr>
          <w:p>
            <w:pPr>
              <w:snapToGrid w:val="0"/>
              <w:spacing w:line="580" w:lineRule="exact"/>
              <w:jc w:val="center"/>
              <w:rPr>
                <w:rFonts w:ascii="仿宋_GB2312" w:hAnsi="仿宋_GB2312" w:eastAsia="仿宋_GB2312" w:cs="仿宋_GB2312"/>
                <w:sz w:val="24"/>
                <w:szCs w:val="24"/>
              </w:rPr>
            </w:pPr>
          </w:p>
        </w:tc>
        <w:tc>
          <w:tcPr>
            <w:tcW w:w="7229" w:type="dxa"/>
            <w:vAlign w:val="center"/>
          </w:tcPr>
          <w:p>
            <w:pPr>
              <w:snapToGrid w:val="0"/>
              <w:spacing w:line="580" w:lineRule="exact"/>
              <w:jc w:val="center"/>
              <w:rPr>
                <w:rFonts w:ascii="仿宋_GB2312" w:hAnsi="仿宋_GB2312" w:eastAsia="仿宋_GB2312" w:cs="仿宋_GB2312"/>
                <w:sz w:val="24"/>
                <w:szCs w:val="24"/>
              </w:rPr>
            </w:pPr>
            <w:r>
              <w:rPr>
                <w:rFonts w:hint="eastAsia" w:ascii="Times New Roman" w:hAnsi="Times New Roman" w:eastAsia="仿宋_GB2312" w:cs="Times New Roman"/>
                <w:sz w:val="24"/>
                <w:szCs w:val="24"/>
              </w:rPr>
              <w:t>收集教职员工和学员健康信息卡。</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235" w:type="dxa"/>
            <w:vMerge w:val="continue"/>
          </w:tcPr>
          <w:p>
            <w:pPr>
              <w:snapToGrid w:val="0"/>
              <w:spacing w:line="580" w:lineRule="exact"/>
              <w:jc w:val="center"/>
              <w:rPr>
                <w:rFonts w:ascii="仿宋_GB2312" w:hAnsi="仿宋_GB2312" w:eastAsia="仿宋_GB2312" w:cs="仿宋_GB2312"/>
                <w:b/>
                <w:sz w:val="24"/>
                <w:szCs w:val="24"/>
              </w:rPr>
            </w:pPr>
          </w:p>
        </w:tc>
        <w:tc>
          <w:tcPr>
            <w:tcW w:w="2693"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设置临时健康隔离区</w:t>
            </w:r>
          </w:p>
        </w:tc>
        <w:tc>
          <w:tcPr>
            <w:tcW w:w="7229"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小区或机构门口设置相对独立、通风良好的场所作为临时隔离区。</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2235" w:type="dxa"/>
            <w:vMerge w:val="continue"/>
          </w:tcPr>
          <w:p>
            <w:pPr>
              <w:snapToGrid w:val="0"/>
              <w:spacing w:line="580" w:lineRule="exact"/>
              <w:jc w:val="center"/>
              <w:rPr>
                <w:rFonts w:ascii="仿宋_GB2312" w:hAnsi="仿宋_GB2312" w:eastAsia="仿宋_GB2312" w:cs="仿宋_GB2312"/>
                <w:b/>
                <w:sz w:val="24"/>
                <w:szCs w:val="24"/>
              </w:rPr>
            </w:pPr>
          </w:p>
        </w:tc>
        <w:tc>
          <w:tcPr>
            <w:tcW w:w="2693"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实施封闭式管理</w:t>
            </w:r>
          </w:p>
        </w:tc>
        <w:tc>
          <w:tcPr>
            <w:tcW w:w="7229" w:type="dxa"/>
            <w:vAlign w:val="center"/>
          </w:tcPr>
          <w:p>
            <w:pPr>
              <w:snapToGrid w:val="0"/>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严控无关人员进出，进入机构实行体温检测和健康问询，并做好登记、追踪报告管理。</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Pr>
          <w:p>
            <w:pPr>
              <w:snapToGrid w:val="0"/>
              <w:spacing w:line="580" w:lineRule="exact"/>
              <w:jc w:val="center"/>
              <w:rPr>
                <w:rFonts w:ascii="仿宋_GB2312" w:hAnsi="仿宋_GB2312" w:eastAsia="仿宋_GB2312" w:cs="仿宋_GB2312"/>
                <w:b/>
                <w:sz w:val="24"/>
                <w:szCs w:val="24"/>
              </w:rPr>
            </w:pPr>
          </w:p>
        </w:tc>
        <w:tc>
          <w:tcPr>
            <w:tcW w:w="2693" w:type="dxa"/>
            <w:vMerge w:val="restart"/>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搞好环境卫生整治</w:t>
            </w:r>
          </w:p>
        </w:tc>
        <w:tc>
          <w:tcPr>
            <w:tcW w:w="7229"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增加清扫消毒频次，及时清理卫生死角，保持环境卫生清洁</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Pr>
          <w:p>
            <w:pPr>
              <w:snapToGrid w:val="0"/>
              <w:spacing w:line="580" w:lineRule="exact"/>
              <w:jc w:val="center"/>
              <w:rPr>
                <w:rFonts w:ascii="仿宋_GB2312" w:hAnsi="仿宋_GB2312" w:eastAsia="仿宋_GB2312" w:cs="仿宋_GB2312"/>
                <w:b/>
                <w:sz w:val="24"/>
                <w:szCs w:val="24"/>
              </w:rPr>
            </w:pPr>
          </w:p>
        </w:tc>
        <w:tc>
          <w:tcPr>
            <w:tcW w:w="2693" w:type="dxa"/>
            <w:vMerge w:val="continue"/>
            <w:vAlign w:val="center"/>
          </w:tcPr>
          <w:p>
            <w:pPr>
              <w:snapToGrid w:val="0"/>
              <w:spacing w:line="580" w:lineRule="exact"/>
              <w:jc w:val="center"/>
              <w:rPr>
                <w:rFonts w:ascii="仿宋_GB2312" w:hAnsi="仿宋_GB2312" w:eastAsia="仿宋_GB2312" w:cs="仿宋_GB2312"/>
                <w:sz w:val="24"/>
                <w:szCs w:val="24"/>
              </w:rPr>
            </w:pPr>
          </w:p>
        </w:tc>
        <w:tc>
          <w:tcPr>
            <w:tcW w:w="7229" w:type="dxa"/>
            <w:vAlign w:val="center"/>
          </w:tcPr>
          <w:p>
            <w:pPr>
              <w:snapToGrid w:val="0"/>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确保排气扇运转正常，保持室内通风换气。疫情解除前停止使用集中空调系统。</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Pr>
          <w:p>
            <w:pPr>
              <w:snapToGrid w:val="0"/>
              <w:spacing w:line="580" w:lineRule="exact"/>
              <w:jc w:val="center"/>
              <w:rPr>
                <w:rFonts w:ascii="仿宋_GB2312" w:hAnsi="仿宋_GB2312" w:eastAsia="仿宋_GB2312" w:cs="仿宋_GB2312"/>
                <w:b/>
                <w:sz w:val="24"/>
                <w:szCs w:val="24"/>
              </w:rPr>
            </w:pPr>
          </w:p>
        </w:tc>
        <w:tc>
          <w:tcPr>
            <w:tcW w:w="2693"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组织员工培训演练</w:t>
            </w:r>
          </w:p>
        </w:tc>
        <w:tc>
          <w:tcPr>
            <w:tcW w:w="7229" w:type="dxa"/>
            <w:vAlign w:val="center"/>
          </w:tcPr>
          <w:p>
            <w:pPr>
              <w:snapToGrid w:val="0"/>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组织员工线上或线下学习新冠肺炎防控知识及简单应急处置措施，并开展线下培训模拟演练。</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restart"/>
            <w:vAlign w:val="center"/>
          </w:tcPr>
          <w:p>
            <w:pPr>
              <w:snapToGrid w:val="0"/>
              <w:spacing w:line="58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线下培训时措施</w:t>
            </w:r>
          </w:p>
        </w:tc>
        <w:tc>
          <w:tcPr>
            <w:tcW w:w="2693"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制定线下培训方案</w:t>
            </w:r>
          </w:p>
        </w:tc>
        <w:tc>
          <w:tcPr>
            <w:tcW w:w="7229" w:type="dxa"/>
            <w:vAlign w:val="center"/>
          </w:tcPr>
          <w:p>
            <w:pPr>
              <w:snapToGrid w:val="0"/>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线下培训前一星期制定具体线下培训方案，并报上级教育行政部门备案。</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napToGrid w:val="0"/>
              <w:spacing w:line="580" w:lineRule="exact"/>
              <w:jc w:val="center"/>
              <w:rPr>
                <w:rFonts w:ascii="仿宋_GB2312" w:hAnsi="仿宋_GB2312" w:eastAsia="仿宋_GB2312" w:cs="仿宋_GB2312"/>
                <w:b/>
                <w:sz w:val="24"/>
                <w:szCs w:val="24"/>
              </w:rPr>
            </w:pPr>
          </w:p>
        </w:tc>
        <w:tc>
          <w:tcPr>
            <w:tcW w:w="2693"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确定复工（参训）名单）</w:t>
            </w:r>
          </w:p>
        </w:tc>
        <w:tc>
          <w:tcPr>
            <w:tcW w:w="7229" w:type="dxa"/>
            <w:vAlign w:val="center"/>
          </w:tcPr>
          <w:p>
            <w:pPr>
              <w:spacing w:line="276" w:lineRule="auto"/>
              <w:ind w:left="-17" w:right="6"/>
              <w:jc w:val="center"/>
              <w:rPr>
                <w:rFonts w:ascii="楷体_GB2312" w:hAnsi="仿宋" w:eastAsia="楷体_GB2312" w:cs="仿宋_GB2312"/>
                <w:b/>
                <w:bCs/>
                <w:kern w:val="0"/>
                <w:sz w:val="24"/>
                <w:szCs w:val="24"/>
              </w:rPr>
            </w:pPr>
            <w:r>
              <w:rPr>
                <w:rFonts w:hint="eastAsia" w:ascii="Times New Roman" w:hAnsi="Times New Roman" w:eastAsia="仿宋_GB2312"/>
                <w:sz w:val="24"/>
                <w:szCs w:val="24"/>
              </w:rPr>
              <w:t>开展线下培训前</w:t>
            </w:r>
            <w:r>
              <w:rPr>
                <w:rFonts w:ascii="Times New Roman" w:hAnsi="Times New Roman" w:eastAsia="仿宋_GB2312"/>
                <w:sz w:val="24"/>
                <w:szCs w:val="24"/>
              </w:rPr>
              <w:t>2</w:t>
            </w:r>
            <w:r>
              <w:rPr>
                <w:rFonts w:hint="eastAsia" w:ascii="Times New Roman" w:hAnsi="Times New Roman" w:eastAsia="仿宋_GB2312"/>
                <w:sz w:val="24"/>
                <w:szCs w:val="24"/>
              </w:rPr>
              <w:t>天收集所有员工（含学员）《健康信息申报卡》， 确定符合复工（参训）要求的人员名单。</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napToGrid w:val="0"/>
              <w:spacing w:line="580" w:lineRule="exact"/>
              <w:jc w:val="center"/>
              <w:rPr>
                <w:rFonts w:ascii="仿宋_GB2312" w:hAnsi="仿宋_GB2312" w:eastAsia="仿宋_GB2312" w:cs="仿宋_GB2312"/>
                <w:b/>
                <w:sz w:val="24"/>
                <w:szCs w:val="24"/>
              </w:rPr>
            </w:pPr>
          </w:p>
        </w:tc>
        <w:tc>
          <w:tcPr>
            <w:tcW w:w="2693"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做好错时错班参训安排</w:t>
            </w:r>
          </w:p>
        </w:tc>
        <w:tc>
          <w:tcPr>
            <w:tcW w:w="7229" w:type="dxa"/>
            <w:vAlign w:val="center"/>
          </w:tcPr>
          <w:p>
            <w:pPr>
              <w:snapToGrid w:val="0"/>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做好不同年级、层次、班级错时上课安排表，每批次学员之间有充足时间间隔</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napToGrid w:val="0"/>
              <w:spacing w:line="580" w:lineRule="exact"/>
              <w:jc w:val="center"/>
              <w:rPr>
                <w:rFonts w:ascii="仿宋_GB2312" w:hAnsi="仿宋_GB2312" w:eastAsia="仿宋_GB2312" w:cs="仿宋_GB2312"/>
                <w:b/>
                <w:sz w:val="24"/>
                <w:szCs w:val="24"/>
              </w:rPr>
            </w:pPr>
          </w:p>
        </w:tc>
        <w:tc>
          <w:tcPr>
            <w:tcW w:w="2693" w:type="dxa"/>
            <w:vMerge w:val="restart"/>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切实做好入口管理</w:t>
            </w:r>
          </w:p>
        </w:tc>
        <w:tc>
          <w:tcPr>
            <w:tcW w:w="7229"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机构入口配备足够体温监测人员。</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napToGrid w:val="0"/>
              <w:spacing w:line="580" w:lineRule="exact"/>
              <w:jc w:val="center"/>
              <w:rPr>
                <w:rFonts w:ascii="仿宋_GB2312" w:hAnsi="仿宋_GB2312" w:eastAsia="仿宋_GB2312" w:cs="仿宋_GB2312"/>
                <w:b/>
                <w:sz w:val="24"/>
                <w:szCs w:val="24"/>
              </w:rPr>
            </w:pPr>
          </w:p>
        </w:tc>
        <w:tc>
          <w:tcPr>
            <w:tcW w:w="2693" w:type="dxa"/>
            <w:vMerge w:val="continue"/>
            <w:vAlign w:val="center"/>
          </w:tcPr>
          <w:p>
            <w:pPr>
              <w:snapToGrid w:val="0"/>
              <w:spacing w:line="580" w:lineRule="exact"/>
              <w:jc w:val="center"/>
              <w:rPr>
                <w:rFonts w:ascii="仿宋_GB2312" w:hAnsi="仿宋_GB2312" w:eastAsia="仿宋_GB2312" w:cs="仿宋_GB2312"/>
                <w:sz w:val="24"/>
                <w:szCs w:val="24"/>
              </w:rPr>
            </w:pPr>
          </w:p>
        </w:tc>
        <w:tc>
          <w:tcPr>
            <w:tcW w:w="7229"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学员有序进入机构上下楼梯或电梯分流措施。</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napToGrid w:val="0"/>
              <w:spacing w:line="580" w:lineRule="exact"/>
              <w:jc w:val="center"/>
              <w:rPr>
                <w:rFonts w:ascii="仿宋_GB2312" w:hAnsi="仿宋_GB2312" w:eastAsia="仿宋_GB2312" w:cs="仿宋_GB2312"/>
                <w:b/>
                <w:sz w:val="24"/>
                <w:szCs w:val="24"/>
              </w:rPr>
            </w:pPr>
          </w:p>
        </w:tc>
        <w:tc>
          <w:tcPr>
            <w:tcW w:w="2693" w:type="dxa"/>
            <w:vMerge w:val="continue"/>
            <w:vAlign w:val="center"/>
          </w:tcPr>
          <w:p>
            <w:pPr>
              <w:snapToGrid w:val="0"/>
              <w:spacing w:line="580" w:lineRule="exact"/>
              <w:jc w:val="center"/>
              <w:rPr>
                <w:rFonts w:ascii="仿宋_GB2312" w:hAnsi="仿宋_GB2312" w:eastAsia="仿宋_GB2312" w:cs="仿宋_GB2312"/>
                <w:sz w:val="24"/>
                <w:szCs w:val="24"/>
              </w:rPr>
            </w:pPr>
          </w:p>
        </w:tc>
        <w:tc>
          <w:tcPr>
            <w:tcW w:w="7229"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学员课前洗手设施及洗手液、手消液等</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2235" w:type="dxa"/>
            <w:vMerge w:val="continue"/>
            <w:vAlign w:val="center"/>
          </w:tcPr>
          <w:p>
            <w:pPr>
              <w:snapToGrid w:val="0"/>
              <w:spacing w:line="580" w:lineRule="exact"/>
              <w:jc w:val="center"/>
              <w:rPr>
                <w:rFonts w:ascii="仿宋_GB2312" w:hAnsi="仿宋_GB2312" w:eastAsia="仿宋_GB2312" w:cs="仿宋_GB2312"/>
                <w:b/>
                <w:sz w:val="24"/>
                <w:szCs w:val="24"/>
              </w:rPr>
            </w:pPr>
          </w:p>
        </w:tc>
        <w:tc>
          <w:tcPr>
            <w:tcW w:w="2693" w:type="dxa"/>
            <w:vMerge w:val="continue"/>
            <w:vAlign w:val="center"/>
          </w:tcPr>
          <w:p>
            <w:pPr>
              <w:snapToGrid w:val="0"/>
              <w:spacing w:line="580" w:lineRule="exact"/>
              <w:jc w:val="center"/>
              <w:rPr>
                <w:rFonts w:ascii="仿宋_GB2312" w:hAnsi="仿宋_GB2312" w:eastAsia="仿宋_GB2312" w:cs="仿宋_GB2312"/>
                <w:sz w:val="24"/>
                <w:szCs w:val="24"/>
              </w:rPr>
            </w:pPr>
          </w:p>
        </w:tc>
        <w:tc>
          <w:tcPr>
            <w:tcW w:w="7229" w:type="dxa"/>
            <w:shd w:val="clear" w:color="auto" w:fill="auto"/>
            <w:vAlign w:val="center"/>
          </w:tcPr>
          <w:p>
            <w:pPr>
              <w:spacing w:line="580" w:lineRule="exact"/>
              <w:jc w:val="center"/>
              <w:rPr>
                <w:rFonts w:ascii="仿宋_GB2312" w:eastAsia="仿宋_GB2312"/>
                <w:sz w:val="24"/>
                <w:szCs w:val="24"/>
              </w:rPr>
            </w:pPr>
            <w:r>
              <w:rPr>
                <w:rFonts w:hint="eastAsia" w:ascii="仿宋_GB2312" w:eastAsia="仿宋_GB2312"/>
                <w:sz w:val="24"/>
                <w:szCs w:val="24"/>
              </w:rPr>
              <w:t>接送家长缓冲和疏导区域安排</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napToGrid w:val="0"/>
              <w:spacing w:line="580" w:lineRule="exact"/>
              <w:jc w:val="center"/>
              <w:rPr>
                <w:rFonts w:ascii="仿宋_GB2312" w:hAnsi="仿宋_GB2312" w:eastAsia="仿宋_GB2312" w:cs="仿宋_GB2312"/>
                <w:b/>
                <w:sz w:val="24"/>
                <w:szCs w:val="24"/>
              </w:rPr>
            </w:pPr>
          </w:p>
        </w:tc>
        <w:tc>
          <w:tcPr>
            <w:tcW w:w="2693" w:type="dxa"/>
            <w:vMerge w:val="restart"/>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单人单桌单行上课</w:t>
            </w:r>
          </w:p>
        </w:tc>
        <w:tc>
          <w:tcPr>
            <w:tcW w:w="7229"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学员座位前后左右持1米以上间隔</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235" w:type="dxa"/>
            <w:vMerge w:val="continue"/>
            <w:vAlign w:val="center"/>
          </w:tcPr>
          <w:p>
            <w:pPr>
              <w:snapToGrid w:val="0"/>
              <w:spacing w:line="580" w:lineRule="exact"/>
              <w:jc w:val="center"/>
              <w:rPr>
                <w:rFonts w:ascii="仿宋_GB2312" w:hAnsi="仿宋_GB2312" w:eastAsia="仿宋_GB2312" w:cs="仿宋_GB2312"/>
                <w:b/>
                <w:sz w:val="24"/>
                <w:szCs w:val="24"/>
              </w:rPr>
            </w:pPr>
          </w:p>
        </w:tc>
        <w:tc>
          <w:tcPr>
            <w:tcW w:w="2693" w:type="dxa"/>
            <w:vMerge w:val="continue"/>
            <w:vAlign w:val="center"/>
          </w:tcPr>
          <w:p>
            <w:pPr>
              <w:snapToGrid w:val="0"/>
              <w:spacing w:line="580" w:lineRule="exact"/>
              <w:jc w:val="center"/>
              <w:rPr>
                <w:rFonts w:ascii="仿宋_GB2312" w:hAnsi="仿宋_GB2312" w:eastAsia="仿宋_GB2312" w:cs="仿宋_GB2312"/>
                <w:sz w:val="24"/>
                <w:szCs w:val="24"/>
              </w:rPr>
            </w:pPr>
          </w:p>
        </w:tc>
        <w:tc>
          <w:tcPr>
            <w:tcW w:w="7229"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一对一辅导要保持1米以上距离</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235" w:type="dxa"/>
            <w:vMerge w:val="restart"/>
            <w:tcBorders>
              <w:top w:val="nil"/>
            </w:tcBorders>
            <w:vAlign w:val="center"/>
          </w:tcPr>
          <w:p>
            <w:pPr>
              <w:snapToGrid w:val="0"/>
              <w:spacing w:line="58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线下培训时措施</w:t>
            </w:r>
          </w:p>
        </w:tc>
        <w:tc>
          <w:tcPr>
            <w:tcW w:w="2693" w:type="dxa"/>
            <w:vMerge w:val="restart"/>
            <w:vAlign w:val="center"/>
          </w:tcPr>
          <w:p>
            <w:pPr>
              <w:snapToGrid w:val="0"/>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落实间隔就餐制度（有食堂的机构）</w:t>
            </w:r>
          </w:p>
        </w:tc>
        <w:tc>
          <w:tcPr>
            <w:tcW w:w="7229" w:type="dxa"/>
            <w:vAlign w:val="center"/>
          </w:tcPr>
          <w:p>
            <w:pPr>
              <w:snapToGrid w:val="0"/>
              <w:spacing w:line="5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食堂门口设立测温点</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235" w:type="dxa"/>
            <w:vMerge w:val="continue"/>
            <w:tcBorders>
              <w:top w:val="nil"/>
            </w:tcBorders>
            <w:vAlign w:val="center"/>
          </w:tcPr>
          <w:p>
            <w:pPr>
              <w:snapToGrid w:val="0"/>
              <w:spacing w:line="580" w:lineRule="exact"/>
              <w:jc w:val="center"/>
              <w:rPr>
                <w:rFonts w:ascii="仿宋_GB2312" w:hAnsi="仿宋_GB2312" w:eastAsia="仿宋_GB2312" w:cs="仿宋_GB2312"/>
                <w:b/>
                <w:sz w:val="24"/>
                <w:szCs w:val="24"/>
              </w:rPr>
            </w:pPr>
          </w:p>
        </w:tc>
        <w:tc>
          <w:tcPr>
            <w:tcW w:w="2693" w:type="dxa"/>
            <w:vMerge w:val="continue"/>
            <w:vAlign w:val="center"/>
          </w:tcPr>
          <w:p>
            <w:pPr>
              <w:snapToGrid w:val="0"/>
              <w:spacing w:line="580" w:lineRule="exact"/>
              <w:jc w:val="center"/>
              <w:rPr>
                <w:rFonts w:ascii="仿宋_GB2312" w:hAnsi="仿宋_GB2312" w:eastAsia="仿宋_GB2312" w:cs="仿宋_GB2312"/>
                <w:sz w:val="24"/>
                <w:szCs w:val="24"/>
              </w:rPr>
            </w:pPr>
          </w:p>
        </w:tc>
        <w:tc>
          <w:tcPr>
            <w:tcW w:w="7229" w:type="dxa"/>
            <w:vAlign w:val="center"/>
          </w:tcPr>
          <w:p>
            <w:pPr>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实行单人单桌单向就餐，人员间隔1米以上，或分餐打包或送餐到课室</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Borders>
              <w:top w:val="nil"/>
            </w:tcBorders>
            <w:vAlign w:val="center"/>
          </w:tcPr>
          <w:p>
            <w:pPr>
              <w:snapToGrid w:val="0"/>
              <w:spacing w:line="580" w:lineRule="exact"/>
              <w:jc w:val="center"/>
              <w:rPr>
                <w:rFonts w:ascii="仿宋_GB2312" w:hAnsi="仿宋_GB2312" w:eastAsia="仿宋_GB2312" w:cs="仿宋_GB2312"/>
                <w:b/>
                <w:sz w:val="24"/>
                <w:szCs w:val="24"/>
              </w:rPr>
            </w:pPr>
          </w:p>
        </w:tc>
        <w:tc>
          <w:tcPr>
            <w:tcW w:w="2693" w:type="dxa"/>
            <w:vAlign w:val="center"/>
          </w:tcPr>
          <w:p>
            <w:pPr>
              <w:widowControl/>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加强学员住宿管理（有全日制学员的机构）</w:t>
            </w:r>
          </w:p>
        </w:tc>
        <w:tc>
          <w:tcPr>
            <w:tcW w:w="7229"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安排专人监测住宿学员健康情况</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235" w:type="dxa"/>
            <w:vMerge w:val="continue"/>
            <w:tcBorders>
              <w:top w:val="nil"/>
            </w:tcBorders>
            <w:vAlign w:val="center"/>
          </w:tcPr>
          <w:p>
            <w:pPr>
              <w:snapToGrid w:val="0"/>
              <w:spacing w:line="580" w:lineRule="exact"/>
              <w:jc w:val="center"/>
              <w:rPr>
                <w:rFonts w:ascii="仿宋_GB2312" w:hAnsi="仿宋_GB2312" w:eastAsia="仿宋_GB2312" w:cs="仿宋_GB2312"/>
                <w:b/>
                <w:sz w:val="24"/>
                <w:szCs w:val="24"/>
              </w:rPr>
            </w:pPr>
          </w:p>
        </w:tc>
        <w:tc>
          <w:tcPr>
            <w:tcW w:w="2693" w:type="dxa"/>
            <w:vMerge w:val="restart"/>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组织好学员错峰下课</w:t>
            </w:r>
          </w:p>
        </w:tc>
        <w:tc>
          <w:tcPr>
            <w:tcW w:w="7229" w:type="dxa"/>
            <w:vAlign w:val="center"/>
          </w:tcPr>
          <w:p>
            <w:pPr>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下课后立即引导学员离开教室，家长即接即走相关安排</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235" w:type="dxa"/>
            <w:vMerge w:val="continue"/>
            <w:tcBorders>
              <w:top w:val="nil"/>
            </w:tcBorders>
            <w:vAlign w:val="center"/>
          </w:tcPr>
          <w:p>
            <w:pPr>
              <w:snapToGrid w:val="0"/>
              <w:spacing w:line="580" w:lineRule="exact"/>
              <w:jc w:val="center"/>
              <w:rPr>
                <w:rFonts w:ascii="仿宋_GB2312" w:hAnsi="仿宋_GB2312" w:eastAsia="仿宋_GB2312" w:cs="仿宋_GB2312"/>
                <w:b/>
                <w:sz w:val="24"/>
                <w:szCs w:val="24"/>
              </w:rPr>
            </w:pPr>
          </w:p>
        </w:tc>
        <w:tc>
          <w:tcPr>
            <w:tcW w:w="2693" w:type="dxa"/>
            <w:vMerge w:val="continue"/>
            <w:vAlign w:val="center"/>
          </w:tcPr>
          <w:p>
            <w:pPr>
              <w:widowControl/>
              <w:snapToGrid w:val="0"/>
              <w:spacing w:line="580" w:lineRule="exact"/>
              <w:jc w:val="center"/>
              <w:rPr>
                <w:rFonts w:ascii="仿宋_GB2312" w:hAnsi="仿宋_GB2312" w:eastAsia="仿宋_GB2312" w:cs="仿宋_GB2312"/>
                <w:kern w:val="0"/>
                <w:sz w:val="24"/>
                <w:szCs w:val="24"/>
              </w:rPr>
            </w:pPr>
          </w:p>
        </w:tc>
        <w:tc>
          <w:tcPr>
            <w:tcW w:w="7229" w:type="dxa"/>
            <w:vAlign w:val="center"/>
          </w:tcPr>
          <w:p>
            <w:pPr>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机构或物管有专人疏导家长和学员</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35" w:type="dxa"/>
            <w:vMerge w:val="restart"/>
            <w:vAlign w:val="center"/>
          </w:tcPr>
          <w:p>
            <w:pPr>
              <w:snapToGrid w:val="0"/>
              <w:spacing w:line="58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线下培训后措施</w:t>
            </w:r>
          </w:p>
        </w:tc>
        <w:tc>
          <w:tcPr>
            <w:tcW w:w="2693" w:type="dxa"/>
            <w:vMerge w:val="restart"/>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做好课后清洁消毒</w:t>
            </w:r>
          </w:p>
        </w:tc>
        <w:tc>
          <w:tcPr>
            <w:tcW w:w="7229"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教室、休息室、办公室等场所消毒、通风。</w:t>
            </w:r>
          </w:p>
        </w:tc>
        <w:tc>
          <w:tcPr>
            <w:tcW w:w="1985" w:type="dxa"/>
            <w:vAlign w:val="center"/>
          </w:tcPr>
          <w:p>
            <w:pPr>
              <w:widowControl/>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235" w:type="dxa"/>
            <w:vMerge w:val="continue"/>
            <w:vAlign w:val="center"/>
          </w:tcPr>
          <w:p>
            <w:pPr>
              <w:snapToGrid w:val="0"/>
              <w:spacing w:line="580" w:lineRule="exact"/>
              <w:jc w:val="center"/>
              <w:rPr>
                <w:rFonts w:ascii="仿宋_GB2312" w:hAnsi="仿宋_GB2312" w:eastAsia="仿宋_GB2312" w:cs="仿宋_GB2312"/>
                <w:b/>
                <w:sz w:val="24"/>
                <w:szCs w:val="24"/>
              </w:rPr>
            </w:pPr>
          </w:p>
        </w:tc>
        <w:tc>
          <w:tcPr>
            <w:tcW w:w="2693" w:type="dxa"/>
            <w:vMerge w:val="continue"/>
            <w:vAlign w:val="center"/>
          </w:tcPr>
          <w:p>
            <w:pPr>
              <w:widowControl/>
              <w:snapToGrid w:val="0"/>
              <w:spacing w:line="580" w:lineRule="exact"/>
              <w:jc w:val="center"/>
              <w:rPr>
                <w:rFonts w:ascii="仿宋_GB2312" w:hAnsi="仿宋_GB2312" w:eastAsia="仿宋_GB2312" w:cs="仿宋_GB2312"/>
                <w:kern w:val="0"/>
                <w:sz w:val="24"/>
                <w:szCs w:val="24"/>
              </w:rPr>
            </w:pPr>
          </w:p>
        </w:tc>
        <w:tc>
          <w:tcPr>
            <w:tcW w:w="7229" w:type="dxa"/>
            <w:vAlign w:val="center"/>
          </w:tcPr>
          <w:p>
            <w:pPr>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供水、饮水、洗手设施正常使用</w:t>
            </w:r>
          </w:p>
        </w:tc>
        <w:tc>
          <w:tcPr>
            <w:tcW w:w="1985" w:type="dxa"/>
            <w:vAlign w:val="center"/>
          </w:tcPr>
          <w:p>
            <w:pPr>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235" w:type="dxa"/>
            <w:vMerge w:val="continue"/>
            <w:vAlign w:val="center"/>
          </w:tcPr>
          <w:p>
            <w:pPr>
              <w:snapToGrid w:val="0"/>
              <w:spacing w:line="580" w:lineRule="exact"/>
              <w:jc w:val="center"/>
              <w:rPr>
                <w:rFonts w:ascii="仿宋_GB2312" w:hAnsi="仿宋_GB2312" w:eastAsia="仿宋_GB2312" w:cs="仿宋_GB2312"/>
                <w:b/>
                <w:sz w:val="24"/>
                <w:szCs w:val="24"/>
              </w:rPr>
            </w:pPr>
          </w:p>
        </w:tc>
        <w:tc>
          <w:tcPr>
            <w:tcW w:w="2693" w:type="dxa"/>
            <w:vMerge w:val="restart"/>
            <w:vAlign w:val="center"/>
          </w:tcPr>
          <w:p>
            <w:pPr>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了解相关症状处置方法</w:t>
            </w:r>
          </w:p>
          <w:p>
            <w:pPr>
              <w:snapToGrid w:val="0"/>
              <w:spacing w:line="580" w:lineRule="exact"/>
              <w:jc w:val="center"/>
              <w:rPr>
                <w:rFonts w:ascii="仿宋_GB2312" w:hAnsi="仿宋_GB2312" w:eastAsia="仿宋_GB2312" w:cs="仿宋_GB2312"/>
                <w:kern w:val="0"/>
                <w:sz w:val="24"/>
                <w:szCs w:val="24"/>
              </w:rPr>
            </w:pPr>
          </w:p>
        </w:tc>
        <w:tc>
          <w:tcPr>
            <w:tcW w:w="7229" w:type="dxa"/>
            <w:vAlign w:val="center"/>
          </w:tcPr>
          <w:p>
            <w:pPr>
              <w:snapToGrid w:val="0"/>
              <w:spacing w:line="276" w:lineRule="auto"/>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出现一般感冒症状（鼻塞、流涕、咽痛等），</w:t>
            </w:r>
            <w:r>
              <w:rPr>
                <w:rFonts w:hint="eastAsia" w:ascii="仿宋_GB2312" w:hAnsi="Times New Roman" w:eastAsia="仿宋_GB2312" w:cs="Times New Roman"/>
                <w:sz w:val="24"/>
                <w:szCs w:val="24"/>
              </w:rPr>
              <w:t>立即转移至健康隔离区做进一步观察，学员由家长带去定点医院就医，或征得家长同意后转诊到社康中心。</w:t>
            </w:r>
          </w:p>
        </w:tc>
        <w:tc>
          <w:tcPr>
            <w:tcW w:w="1985" w:type="dxa"/>
            <w:vAlign w:val="center"/>
          </w:tcPr>
          <w:p>
            <w:pPr>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35" w:type="dxa"/>
            <w:vMerge w:val="continue"/>
            <w:vAlign w:val="center"/>
          </w:tcPr>
          <w:p>
            <w:pPr>
              <w:snapToGrid w:val="0"/>
              <w:spacing w:line="580" w:lineRule="exact"/>
              <w:jc w:val="center"/>
              <w:rPr>
                <w:rFonts w:ascii="仿宋_GB2312" w:hAnsi="仿宋_GB2312" w:eastAsia="仿宋_GB2312" w:cs="仿宋_GB2312"/>
                <w:b/>
                <w:sz w:val="24"/>
                <w:szCs w:val="24"/>
              </w:rPr>
            </w:pPr>
          </w:p>
        </w:tc>
        <w:tc>
          <w:tcPr>
            <w:tcW w:w="2693" w:type="dxa"/>
            <w:vMerge w:val="continue"/>
            <w:vAlign w:val="center"/>
          </w:tcPr>
          <w:p>
            <w:pPr>
              <w:snapToGrid w:val="0"/>
              <w:spacing w:line="580" w:lineRule="exact"/>
              <w:jc w:val="center"/>
              <w:rPr>
                <w:rFonts w:ascii="仿宋_GB2312" w:hAnsi="仿宋_GB2312" w:eastAsia="仿宋_GB2312" w:cs="仿宋_GB2312"/>
                <w:kern w:val="0"/>
                <w:sz w:val="24"/>
                <w:szCs w:val="24"/>
              </w:rPr>
            </w:pPr>
          </w:p>
        </w:tc>
        <w:tc>
          <w:tcPr>
            <w:tcW w:w="7229" w:type="dxa"/>
            <w:vAlign w:val="center"/>
          </w:tcPr>
          <w:p>
            <w:pPr>
              <w:adjustRightInd w:val="0"/>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出现新冠肺炎早起症状（如发热、干咳、乏力、咽痛、腹泻等），应立即至健康隔离区等候，通知学员家长，并立即报告</w:t>
            </w:r>
            <w:r>
              <w:rPr>
                <w:rFonts w:hint="eastAsia" w:ascii="仿宋_GB2312" w:eastAsia="仿宋_GB2312" w:cs="仿宋_GB2312"/>
                <w:kern w:val="0"/>
                <w:sz w:val="24"/>
                <w:szCs w:val="24"/>
              </w:rPr>
              <w:t>社区工作站、</w:t>
            </w:r>
            <w:r>
              <w:rPr>
                <w:rFonts w:hint="eastAsia" w:ascii="Times New Roman" w:hAnsi="Times New Roman" w:eastAsia="仿宋_GB2312" w:cs="Times New Roman"/>
                <w:sz w:val="24"/>
                <w:szCs w:val="24"/>
              </w:rPr>
              <w:t>辖区疾控部门</w:t>
            </w:r>
            <w:r>
              <w:rPr>
                <w:rFonts w:hint="eastAsia" w:ascii="仿宋_GB2312" w:eastAsia="仿宋_GB2312" w:cs="仿宋_GB2312"/>
                <w:kern w:val="0"/>
                <w:sz w:val="24"/>
                <w:szCs w:val="24"/>
              </w:rPr>
              <w:t>和上级教育部门，配合</w:t>
            </w:r>
            <w:r>
              <w:rPr>
                <w:rFonts w:hint="eastAsia" w:ascii="Times New Roman" w:hAnsi="Times New Roman" w:eastAsia="仿宋_GB2312" w:cs="Times New Roman"/>
                <w:sz w:val="24"/>
                <w:szCs w:val="24"/>
              </w:rPr>
              <w:t>属地疾控部门处置。</w:t>
            </w:r>
          </w:p>
        </w:tc>
        <w:tc>
          <w:tcPr>
            <w:tcW w:w="1985" w:type="dxa"/>
            <w:vAlign w:val="center"/>
          </w:tcPr>
          <w:p>
            <w:pPr>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35" w:type="dxa"/>
            <w:vMerge w:val="continue"/>
            <w:vAlign w:val="center"/>
          </w:tcPr>
          <w:p>
            <w:pPr>
              <w:snapToGrid w:val="0"/>
              <w:spacing w:line="580" w:lineRule="exact"/>
              <w:jc w:val="center"/>
              <w:rPr>
                <w:rFonts w:ascii="仿宋_GB2312" w:hAnsi="仿宋_GB2312" w:eastAsia="仿宋_GB2312" w:cs="仿宋_GB2312"/>
                <w:b/>
                <w:sz w:val="24"/>
                <w:szCs w:val="24"/>
              </w:rPr>
            </w:pPr>
          </w:p>
        </w:tc>
        <w:tc>
          <w:tcPr>
            <w:tcW w:w="2693" w:type="dxa"/>
            <w:vMerge w:val="continue"/>
            <w:vAlign w:val="center"/>
          </w:tcPr>
          <w:p>
            <w:pPr>
              <w:snapToGrid w:val="0"/>
              <w:spacing w:line="580" w:lineRule="exact"/>
              <w:jc w:val="center"/>
              <w:rPr>
                <w:rFonts w:ascii="仿宋_GB2312" w:hAnsi="仿宋_GB2312" w:eastAsia="仿宋_GB2312" w:cs="仿宋_GB2312"/>
                <w:kern w:val="0"/>
                <w:sz w:val="24"/>
                <w:szCs w:val="24"/>
              </w:rPr>
            </w:pPr>
          </w:p>
        </w:tc>
        <w:tc>
          <w:tcPr>
            <w:tcW w:w="7229" w:type="dxa"/>
            <w:vAlign w:val="center"/>
          </w:tcPr>
          <w:p>
            <w:pPr>
              <w:snapToGrid w:val="0"/>
              <w:spacing w:line="580" w:lineRule="exact"/>
              <w:jc w:val="center"/>
              <w:rPr>
                <w:rFonts w:ascii="仿宋_GB2312" w:hAnsi="仿宋_GB2312" w:eastAsia="仿宋_GB2312" w:cs="仿宋_GB2312"/>
                <w:kern w:val="0"/>
                <w:sz w:val="24"/>
                <w:szCs w:val="24"/>
              </w:rPr>
            </w:pPr>
            <w:r>
              <w:rPr>
                <w:rFonts w:hint="eastAsia" w:ascii="Times New Roman" w:hAnsi="Times New Roman" w:eastAsia="仿宋_GB2312" w:cs="Times New Roman"/>
                <w:sz w:val="24"/>
                <w:szCs w:val="24"/>
              </w:rPr>
              <w:t>全力配合相关部门做好密切接触者的管理。</w:t>
            </w:r>
          </w:p>
        </w:tc>
        <w:tc>
          <w:tcPr>
            <w:tcW w:w="1985" w:type="dxa"/>
            <w:vAlign w:val="center"/>
          </w:tcPr>
          <w:p>
            <w:pPr>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235" w:type="dxa"/>
            <w:vMerge w:val="continue"/>
            <w:vAlign w:val="center"/>
          </w:tcPr>
          <w:p>
            <w:pPr>
              <w:snapToGrid w:val="0"/>
              <w:spacing w:line="580" w:lineRule="exact"/>
              <w:jc w:val="center"/>
              <w:rPr>
                <w:rFonts w:ascii="仿宋_GB2312" w:hAnsi="仿宋_GB2312" w:eastAsia="仿宋_GB2312" w:cs="仿宋_GB2312"/>
                <w:b/>
                <w:sz w:val="24"/>
                <w:szCs w:val="24"/>
              </w:rPr>
            </w:pPr>
          </w:p>
        </w:tc>
        <w:tc>
          <w:tcPr>
            <w:tcW w:w="2693" w:type="dxa"/>
            <w:vMerge w:val="restart"/>
            <w:vAlign w:val="center"/>
          </w:tcPr>
          <w:p>
            <w:pPr>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出现新冠确诊病例应急处置</w:t>
            </w:r>
          </w:p>
        </w:tc>
        <w:tc>
          <w:tcPr>
            <w:tcW w:w="7229" w:type="dxa"/>
            <w:vAlign w:val="center"/>
          </w:tcPr>
          <w:p>
            <w:pPr>
              <w:autoSpaceDE w:val="0"/>
              <w:autoSpaceDN w:val="0"/>
              <w:adjustRightInd w:val="0"/>
              <w:spacing w:line="580" w:lineRule="exact"/>
              <w:jc w:val="center"/>
              <w:rPr>
                <w:rFonts w:ascii="仿宋_GB2312" w:hAnsi="仿宋_GB2312" w:eastAsia="仿宋_GB2312" w:cs="仿宋_GB2312"/>
                <w:kern w:val="0"/>
                <w:sz w:val="24"/>
                <w:szCs w:val="24"/>
              </w:rPr>
            </w:pPr>
            <w:r>
              <w:rPr>
                <w:rFonts w:hint="eastAsia" w:ascii="Times New Roman" w:hAnsi="Times New Roman" w:eastAsia="仿宋_GB2312" w:cs="Times New Roman"/>
                <w:sz w:val="24"/>
                <w:szCs w:val="24"/>
              </w:rPr>
              <w:t>配合属地卫健部门做好隔离工作。</w:t>
            </w:r>
          </w:p>
        </w:tc>
        <w:tc>
          <w:tcPr>
            <w:tcW w:w="1985" w:type="dxa"/>
            <w:vAlign w:val="center"/>
          </w:tcPr>
          <w:p>
            <w:pPr>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235" w:type="dxa"/>
            <w:vMerge w:val="continue"/>
            <w:vAlign w:val="center"/>
          </w:tcPr>
          <w:p>
            <w:pPr>
              <w:snapToGrid w:val="0"/>
              <w:spacing w:line="580" w:lineRule="exact"/>
              <w:jc w:val="center"/>
              <w:rPr>
                <w:rFonts w:ascii="仿宋_GB2312" w:hAnsi="仿宋_GB2312" w:eastAsia="仿宋_GB2312" w:cs="仿宋_GB2312"/>
                <w:b/>
                <w:sz w:val="24"/>
                <w:szCs w:val="24"/>
              </w:rPr>
            </w:pPr>
          </w:p>
        </w:tc>
        <w:tc>
          <w:tcPr>
            <w:tcW w:w="2693" w:type="dxa"/>
            <w:vMerge w:val="continue"/>
            <w:vAlign w:val="center"/>
          </w:tcPr>
          <w:p>
            <w:pPr>
              <w:snapToGrid w:val="0"/>
              <w:spacing w:line="580" w:lineRule="exact"/>
              <w:jc w:val="center"/>
              <w:rPr>
                <w:rFonts w:ascii="仿宋_GB2312" w:hAnsi="仿宋_GB2312" w:eastAsia="仿宋_GB2312" w:cs="仿宋_GB2312"/>
                <w:kern w:val="0"/>
                <w:sz w:val="24"/>
                <w:szCs w:val="24"/>
              </w:rPr>
            </w:pPr>
          </w:p>
        </w:tc>
        <w:tc>
          <w:tcPr>
            <w:tcW w:w="7229" w:type="dxa"/>
            <w:vAlign w:val="center"/>
          </w:tcPr>
          <w:p>
            <w:pPr>
              <w:autoSpaceDE w:val="0"/>
              <w:autoSpaceDN w:val="0"/>
              <w:adjustRightInd w:val="0"/>
              <w:spacing w:line="580" w:lineRule="exact"/>
              <w:jc w:val="center"/>
              <w:rPr>
                <w:rFonts w:ascii="仿宋_GB2312" w:eastAsia="仿宋_GB2312" w:cs="仿宋_GB2312"/>
                <w:kern w:val="0"/>
                <w:sz w:val="24"/>
                <w:szCs w:val="24"/>
              </w:rPr>
            </w:pPr>
            <w:r>
              <w:rPr>
                <w:rFonts w:hint="eastAsia" w:ascii="仿宋_GB2312" w:hAnsi="Times New Roman" w:eastAsia="仿宋_GB2312" w:cs="Times New Roman"/>
                <w:sz w:val="24"/>
                <w:szCs w:val="24"/>
              </w:rPr>
              <w:t>落实疫情防控专家评估后采取全面停课或局部停课等管控措施。</w:t>
            </w:r>
          </w:p>
        </w:tc>
        <w:tc>
          <w:tcPr>
            <w:tcW w:w="1985" w:type="dxa"/>
            <w:vAlign w:val="center"/>
          </w:tcPr>
          <w:p>
            <w:pPr>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2235" w:type="dxa"/>
            <w:vMerge w:val="continue"/>
            <w:vAlign w:val="center"/>
          </w:tcPr>
          <w:p>
            <w:pPr>
              <w:snapToGrid w:val="0"/>
              <w:spacing w:line="580" w:lineRule="exact"/>
              <w:jc w:val="center"/>
              <w:rPr>
                <w:rFonts w:ascii="仿宋_GB2312" w:hAnsi="仿宋_GB2312" w:eastAsia="仿宋_GB2312" w:cs="仿宋_GB2312"/>
                <w:b/>
                <w:sz w:val="24"/>
                <w:szCs w:val="24"/>
              </w:rPr>
            </w:pPr>
          </w:p>
        </w:tc>
        <w:tc>
          <w:tcPr>
            <w:tcW w:w="2693" w:type="dxa"/>
            <w:vMerge w:val="continue"/>
            <w:vAlign w:val="center"/>
          </w:tcPr>
          <w:p>
            <w:pPr>
              <w:snapToGrid w:val="0"/>
              <w:spacing w:line="580" w:lineRule="exact"/>
              <w:jc w:val="center"/>
              <w:rPr>
                <w:rFonts w:ascii="仿宋_GB2312" w:hAnsi="仿宋_GB2312" w:eastAsia="仿宋_GB2312" w:cs="仿宋_GB2312"/>
                <w:kern w:val="0"/>
                <w:sz w:val="24"/>
                <w:szCs w:val="24"/>
              </w:rPr>
            </w:pPr>
          </w:p>
        </w:tc>
        <w:tc>
          <w:tcPr>
            <w:tcW w:w="7229" w:type="dxa"/>
            <w:vAlign w:val="center"/>
          </w:tcPr>
          <w:p>
            <w:pPr>
              <w:autoSpaceDE w:val="0"/>
              <w:autoSpaceDN w:val="0"/>
              <w:adjustRightInd w:val="0"/>
              <w:spacing w:line="580" w:lineRule="exact"/>
              <w:jc w:val="center"/>
              <w:rPr>
                <w:rFonts w:ascii="仿宋_GB2312" w:hAnsi="Times New Roman" w:eastAsia="仿宋_GB2312" w:cs="Times New Roman"/>
                <w:sz w:val="24"/>
                <w:szCs w:val="24"/>
              </w:rPr>
            </w:pPr>
            <w:r>
              <w:rPr>
                <w:rFonts w:hint="eastAsia" w:ascii="Times New Roman" w:hAnsi="Times New Roman" w:eastAsia="仿宋_GB2312" w:cs="Times New Roman"/>
                <w:sz w:val="24"/>
                <w:szCs w:val="24"/>
              </w:rPr>
              <w:t>对共同生活、上课的一般接触者进行风险告知， 有专人负责与接受隔离学员的家长联系，掌握健康状况。</w:t>
            </w:r>
          </w:p>
        </w:tc>
        <w:tc>
          <w:tcPr>
            <w:tcW w:w="1985" w:type="dxa"/>
            <w:vAlign w:val="center"/>
          </w:tcPr>
          <w:p>
            <w:pPr>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2235" w:type="dxa"/>
            <w:vMerge w:val="continue"/>
            <w:vAlign w:val="center"/>
          </w:tcPr>
          <w:p>
            <w:pPr>
              <w:snapToGrid w:val="0"/>
              <w:spacing w:line="580" w:lineRule="exact"/>
              <w:jc w:val="center"/>
              <w:rPr>
                <w:rFonts w:ascii="仿宋_GB2312" w:hAnsi="仿宋_GB2312" w:eastAsia="仿宋_GB2312" w:cs="仿宋_GB2312"/>
                <w:b/>
                <w:sz w:val="24"/>
                <w:szCs w:val="24"/>
              </w:rPr>
            </w:pPr>
          </w:p>
        </w:tc>
        <w:tc>
          <w:tcPr>
            <w:tcW w:w="2693" w:type="dxa"/>
            <w:vMerge w:val="continue"/>
            <w:vAlign w:val="center"/>
          </w:tcPr>
          <w:p>
            <w:pPr>
              <w:snapToGrid w:val="0"/>
              <w:spacing w:line="580" w:lineRule="exact"/>
              <w:jc w:val="center"/>
              <w:rPr>
                <w:rFonts w:ascii="仿宋_GB2312" w:hAnsi="仿宋_GB2312" w:eastAsia="仿宋_GB2312" w:cs="仿宋_GB2312"/>
                <w:kern w:val="0"/>
                <w:sz w:val="24"/>
                <w:szCs w:val="24"/>
              </w:rPr>
            </w:pPr>
          </w:p>
        </w:tc>
        <w:tc>
          <w:tcPr>
            <w:tcW w:w="7229" w:type="dxa"/>
            <w:vAlign w:val="center"/>
          </w:tcPr>
          <w:p>
            <w:pPr>
              <w:autoSpaceDE w:val="0"/>
              <w:autoSpaceDN w:val="0"/>
              <w:adjustRightInd w:val="0"/>
              <w:spacing w:line="580" w:lineRule="exact"/>
              <w:jc w:val="center"/>
              <w:rPr>
                <w:rFonts w:ascii="仿宋_GB2312" w:eastAsia="仿宋_GB2312" w:cs="仿宋_GB2312"/>
                <w:kern w:val="0"/>
                <w:sz w:val="24"/>
                <w:szCs w:val="24"/>
              </w:rPr>
            </w:pPr>
            <w:r>
              <w:rPr>
                <w:rFonts w:hint="eastAsia" w:ascii="仿宋_GB2312" w:eastAsia="仿宋_GB2312" w:cs="仿宋_GB2312"/>
                <w:kern w:val="0"/>
                <w:sz w:val="24"/>
                <w:szCs w:val="24"/>
              </w:rPr>
              <w:t>配合疾控机构的流行病学调查和对有关场所、物品进行终末消毒等工作。</w:t>
            </w:r>
          </w:p>
        </w:tc>
        <w:tc>
          <w:tcPr>
            <w:tcW w:w="1985" w:type="dxa"/>
            <w:vAlign w:val="center"/>
          </w:tcPr>
          <w:p>
            <w:pPr>
              <w:snapToGrid w:val="0"/>
              <w:spacing w:line="5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bl>
    <w:p>
      <w:pPr>
        <w:widowControl/>
        <w:spacing w:line="580" w:lineRule="exact"/>
        <w:ind w:right="6"/>
        <w:jc w:val="left"/>
        <w:rPr>
          <w:rFonts w:ascii="仿宋_GB2312" w:hAnsi="黑体" w:eastAsia="仿宋_GB2312"/>
          <w:kern w:val="0"/>
          <w:sz w:val="32"/>
          <w:szCs w:val="32"/>
        </w:rPr>
      </w:pPr>
    </w:p>
    <w:p>
      <w:pPr>
        <w:widowControl/>
        <w:spacing w:line="580" w:lineRule="exact"/>
        <w:ind w:right="6"/>
        <w:jc w:val="left"/>
        <w:rPr>
          <w:rFonts w:ascii="仿宋_GB2312" w:hAnsi="黑体" w:eastAsia="仿宋_GB2312"/>
          <w:kern w:val="0"/>
          <w:sz w:val="32"/>
          <w:szCs w:val="32"/>
        </w:rPr>
      </w:pPr>
    </w:p>
    <w:p>
      <w:pPr>
        <w:widowControl/>
        <w:spacing w:line="580" w:lineRule="exact"/>
        <w:ind w:right="6"/>
        <w:jc w:val="left"/>
        <w:rPr>
          <w:rFonts w:ascii="仿宋_GB2312" w:hAnsi="黑体" w:eastAsia="仿宋_GB2312"/>
          <w:kern w:val="0"/>
          <w:sz w:val="32"/>
          <w:szCs w:val="32"/>
        </w:rPr>
        <w:sectPr>
          <w:pgSz w:w="16838" w:h="11906" w:orient="landscape"/>
          <w:pgMar w:top="1587" w:right="1701" w:bottom="1474" w:left="1701" w:header="851" w:footer="992" w:gutter="0"/>
          <w:cols w:space="0" w:num="1"/>
          <w:titlePg/>
          <w:docGrid w:type="lines" w:linePitch="312" w:charSpace="0"/>
        </w:sectPr>
      </w:pPr>
    </w:p>
    <w:p>
      <w:pPr>
        <w:pBdr>
          <w:bottom w:val="double" w:color="auto" w:sz="4" w:space="1"/>
        </w:pBdr>
        <w:spacing w:line="400" w:lineRule="exact"/>
        <w:rPr>
          <w:rFonts w:ascii="黑体" w:hAnsi="黑体" w:eastAsia="黑体" w:cs="黑体"/>
          <w:kern w:val="0"/>
          <w:sz w:val="32"/>
          <w:szCs w:val="32"/>
        </w:rPr>
      </w:pPr>
      <w:r>
        <w:rPr>
          <w:rFonts w:hint="eastAsia" w:ascii="黑体" w:hAnsi="黑体" w:eastAsia="黑体" w:cs="黑体"/>
          <w:kern w:val="0"/>
          <w:sz w:val="32"/>
          <w:szCs w:val="32"/>
        </w:rPr>
        <w:t>附件3-4</w:t>
      </w:r>
    </w:p>
    <w:p>
      <w:pPr>
        <w:pBdr>
          <w:bottom w:val="double" w:color="auto" w:sz="4" w:space="1"/>
        </w:pBdr>
        <w:spacing w:line="400" w:lineRule="exact"/>
        <w:ind w:firstLine="180" w:firstLineChars="50"/>
        <w:jc w:val="center"/>
        <w:rPr>
          <w:rFonts w:ascii="方正小标宋简体" w:hAnsi="黑体" w:eastAsia="方正小标宋简体"/>
          <w:sz w:val="36"/>
          <w:szCs w:val="36"/>
        </w:rPr>
      </w:pPr>
      <w:r>
        <w:rPr>
          <w:rFonts w:hint="eastAsia" w:ascii="方正小标宋简体" w:hAnsi="黑体" w:eastAsia="方正小标宋简体"/>
          <w:sz w:val="36"/>
          <w:szCs w:val="36"/>
        </w:rPr>
        <w:t>深圳市培训机构师生员工健康信息申报卡</w:t>
      </w:r>
    </w:p>
    <w:p>
      <w:pPr>
        <w:pBdr>
          <w:bottom w:val="double" w:color="auto" w:sz="4" w:space="1"/>
        </w:pBdr>
        <w:spacing w:line="400" w:lineRule="exact"/>
        <w:jc w:val="center"/>
        <w:rPr>
          <w:rFonts w:ascii="Times New Roman" w:hAnsi="Times New Roman" w:eastAsia="仿宋_GB2312"/>
        </w:rPr>
      </w:pPr>
      <w:r>
        <w:rPr>
          <w:rFonts w:hint="eastAsia" w:ascii="Times New Roman" w:hAnsi="Times New Roman" w:eastAsia="仿宋_GB2312"/>
        </w:rPr>
        <w:t>(模板)</w:t>
      </w:r>
    </w:p>
    <w:p>
      <w:pPr>
        <w:keepNext/>
        <w:keepLines/>
        <w:spacing w:line="320" w:lineRule="exact"/>
        <w:outlineLvl w:val="0"/>
        <w:rPr>
          <w:rFonts w:ascii="仿宋" w:hAnsi="仿宋" w:eastAsia="仿宋"/>
          <w:b/>
          <w:bCs/>
          <w:kern w:val="44"/>
          <w:sz w:val="30"/>
          <w:szCs w:val="30"/>
        </w:rPr>
      </w:pPr>
      <w:r>
        <w:rPr>
          <w:rFonts w:hint="eastAsia" w:ascii="仿宋" w:hAnsi="仿宋" w:eastAsia="仿宋"/>
          <w:b/>
          <w:bCs/>
          <w:kern w:val="44"/>
          <w:sz w:val="30"/>
          <w:szCs w:val="30"/>
        </w:rPr>
        <w:t>基本信息：</w:t>
      </w:r>
    </w:p>
    <w:p>
      <w:pPr>
        <w:spacing w:line="320" w:lineRule="exact"/>
        <w:rPr>
          <w:rFonts w:ascii="Times New Roman" w:hAnsi="Times New Roman" w:eastAsia="仿宋_GB2312"/>
        </w:rPr>
      </w:pPr>
      <w:r>
        <w:rPr>
          <w:rFonts w:hint="eastAsia" w:ascii="Times New Roman" w:hAnsi="Times New Roman" w:eastAsia="仿宋_GB2312"/>
        </w:rPr>
        <w:t>姓名：           性别：            年龄：            学校：</w:t>
      </w:r>
    </w:p>
    <w:p>
      <w:pPr>
        <w:spacing w:line="320" w:lineRule="exact"/>
        <w:rPr>
          <w:rFonts w:ascii="Times New Roman" w:hAnsi="Times New Roman" w:eastAsia="仿宋_GB2312"/>
        </w:rPr>
      </w:pPr>
      <w:r>
        <w:rPr>
          <w:rFonts w:hint="eastAsia" w:ascii="Times New Roman" w:hAnsi="Times New Roman" w:eastAsia="仿宋_GB2312"/>
        </w:rPr>
        <w:t>部门/班级：            家庭</w:t>
      </w:r>
      <w:r>
        <w:rPr>
          <w:rFonts w:ascii="Times New Roman" w:hAnsi="Times New Roman" w:eastAsia="仿宋_GB2312"/>
        </w:rPr>
        <w:t>住址：</w:t>
      </w:r>
      <w:r>
        <w:rPr>
          <w:rFonts w:hint="eastAsia" w:ascii="Times New Roman" w:hAnsi="Times New Roman" w:eastAsia="仿宋_GB2312"/>
        </w:rPr>
        <w:tab/>
      </w:r>
      <w:r>
        <w:rPr>
          <w:rFonts w:hint="eastAsia" w:ascii="Times New Roman" w:hAnsi="Times New Roman" w:eastAsia="仿宋_GB2312"/>
        </w:rPr>
        <w:t xml:space="preserve">                联系</w:t>
      </w:r>
      <w:r>
        <w:rPr>
          <w:rFonts w:ascii="Times New Roman" w:hAnsi="Times New Roman" w:eastAsia="仿宋_GB2312"/>
        </w:rPr>
        <w:t>电话：</w:t>
      </w:r>
    </w:p>
    <w:p>
      <w:pPr>
        <w:keepNext/>
        <w:keepLines/>
        <w:spacing w:line="400" w:lineRule="exact"/>
        <w:outlineLvl w:val="0"/>
        <w:rPr>
          <w:rFonts w:ascii="仿宋" w:hAnsi="仿宋" w:eastAsia="仿宋"/>
          <w:b/>
          <w:bCs/>
          <w:kern w:val="44"/>
          <w:sz w:val="30"/>
          <w:szCs w:val="30"/>
        </w:rPr>
      </w:pPr>
      <w:r>
        <w:rPr>
          <w:rFonts w:hint="eastAsia" w:ascii="仿宋" w:hAnsi="仿宋" w:eastAsia="仿宋"/>
          <w:b/>
          <w:bCs/>
          <w:kern w:val="44"/>
          <w:sz w:val="30"/>
          <w:szCs w:val="30"/>
        </w:rPr>
        <w:t>健康情况</w:t>
      </w:r>
    </w:p>
    <w:tbl>
      <w:tblPr>
        <w:tblStyle w:val="13"/>
        <w:tblW w:w="84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6208"/>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017" w:type="dxa"/>
            <w:shd w:val="clear" w:color="auto" w:fill="FFFFFF" w:themeFill="background1"/>
            <w:vAlign w:val="center"/>
          </w:tcPr>
          <w:p>
            <w:pPr>
              <w:tabs>
                <w:tab w:val="left" w:pos="5071"/>
              </w:tabs>
              <w:spacing w:line="400" w:lineRule="exact"/>
              <w:jc w:val="center"/>
              <w:rPr>
                <w:rFonts w:ascii="Times New Roman" w:hAnsi="Times New Roman" w:eastAsia="仿宋_GB2312"/>
                <w:b/>
              </w:rPr>
            </w:pPr>
            <w:r>
              <w:rPr>
                <w:rFonts w:hint="eastAsia" w:ascii="Times New Roman" w:hAnsi="Times New Roman" w:eastAsia="仿宋_GB2312"/>
                <w:b/>
              </w:rPr>
              <w:t>序号</w:t>
            </w:r>
          </w:p>
        </w:tc>
        <w:tc>
          <w:tcPr>
            <w:tcW w:w="6208" w:type="dxa"/>
            <w:vAlign w:val="center"/>
          </w:tcPr>
          <w:p>
            <w:pPr>
              <w:tabs>
                <w:tab w:val="left" w:pos="5071"/>
              </w:tabs>
              <w:spacing w:line="400" w:lineRule="exact"/>
              <w:ind w:firstLine="643"/>
              <w:jc w:val="center"/>
              <w:rPr>
                <w:rFonts w:ascii="Times New Roman" w:hAnsi="Times New Roman" w:eastAsia="仿宋_GB2312"/>
                <w:b/>
              </w:rPr>
            </w:pPr>
            <w:r>
              <w:rPr>
                <w:rFonts w:hint="eastAsia" w:ascii="Times New Roman" w:hAnsi="Times New Roman" w:eastAsia="仿宋_GB2312"/>
                <w:b/>
              </w:rPr>
              <w:t>指标</w:t>
            </w:r>
          </w:p>
        </w:tc>
        <w:tc>
          <w:tcPr>
            <w:tcW w:w="1184" w:type="dxa"/>
            <w:vAlign w:val="center"/>
          </w:tcPr>
          <w:p>
            <w:pPr>
              <w:tabs>
                <w:tab w:val="left" w:pos="5071"/>
              </w:tabs>
              <w:spacing w:line="400" w:lineRule="exact"/>
              <w:jc w:val="center"/>
              <w:rPr>
                <w:rFonts w:ascii="Times New Roman" w:hAnsi="Times New Roman" w:eastAsia="仿宋_GB2312"/>
                <w:b/>
              </w:rPr>
            </w:pPr>
            <w:r>
              <w:rPr>
                <w:rFonts w:hint="eastAsia" w:ascii="Times New Roman" w:hAnsi="Times New Roman" w:eastAsia="仿宋_GB2312"/>
                <w:b/>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vAlign w:val="center"/>
          </w:tcPr>
          <w:p>
            <w:pPr>
              <w:tabs>
                <w:tab w:val="left" w:pos="5071"/>
              </w:tabs>
              <w:spacing w:line="400" w:lineRule="exact"/>
              <w:jc w:val="center"/>
              <w:rPr>
                <w:rFonts w:ascii="Times New Roman" w:hAnsi="Times New Roman" w:eastAsia="仿宋_GB2312"/>
              </w:rPr>
            </w:pPr>
            <w:r>
              <w:rPr>
                <w:rFonts w:hint="eastAsia" w:ascii="Times New Roman" w:hAnsi="Times New Roman" w:eastAsia="仿宋_GB2312"/>
              </w:rPr>
              <w:t>1</w:t>
            </w:r>
          </w:p>
        </w:tc>
        <w:tc>
          <w:tcPr>
            <w:tcW w:w="6208" w:type="dxa"/>
            <w:vAlign w:val="center"/>
          </w:tcPr>
          <w:p>
            <w:pPr>
              <w:tabs>
                <w:tab w:val="left" w:pos="5071"/>
              </w:tabs>
              <w:spacing w:line="400" w:lineRule="exact"/>
              <w:rPr>
                <w:rFonts w:ascii="Times New Roman" w:hAnsi="Times New Roman" w:eastAsia="仿宋_GB2312"/>
              </w:rPr>
            </w:pPr>
            <w:r>
              <w:rPr>
                <w:rFonts w:hint="eastAsia" w:ascii="Times New Roman" w:hAnsi="Times New Roman" w:eastAsia="仿宋_GB2312"/>
              </w:rPr>
              <w:t>申报人仍在湖北或境外（含</w:t>
            </w:r>
            <w:r>
              <w:rPr>
                <w:rFonts w:ascii="Times New Roman" w:hAnsi="Times New Roman" w:eastAsia="仿宋_GB2312"/>
              </w:rPr>
              <w:t>港澳台地区</w:t>
            </w:r>
            <w:r>
              <w:rPr>
                <w:rFonts w:hint="eastAsia" w:ascii="Times New Roman" w:hAnsi="Times New Roman" w:eastAsia="仿宋_GB2312"/>
              </w:rPr>
              <w:t>，</w:t>
            </w:r>
            <w:r>
              <w:rPr>
                <w:rFonts w:ascii="Times New Roman" w:hAnsi="Times New Roman" w:eastAsia="仿宋_GB2312"/>
              </w:rPr>
              <w:t>下同</w:t>
            </w:r>
            <w:r>
              <w:rPr>
                <w:rFonts w:hint="eastAsia" w:ascii="Times New Roman" w:hAnsi="Times New Roman" w:eastAsia="仿宋_GB2312"/>
              </w:rPr>
              <w:t>）。</w:t>
            </w:r>
          </w:p>
        </w:tc>
        <w:tc>
          <w:tcPr>
            <w:tcW w:w="1184" w:type="dxa"/>
            <w:vAlign w:val="center"/>
          </w:tcPr>
          <w:p>
            <w:pPr>
              <w:tabs>
                <w:tab w:val="left" w:pos="5071"/>
              </w:tabs>
              <w:spacing w:line="400" w:lineRule="exact"/>
              <w:jc w:val="center"/>
              <w:rPr>
                <w:rFonts w:ascii="Times New Roman" w:hAnsi="Times New Roman" w:eastAsia="仿宋_GB2312"/>
              </w:rPr>
            </w:pPr>
            <w:r>
              <w:rPr>
                <w:rFonts w:hint="eastAsia" w:ascii="仿宋_GB2312" w:hAnsi="仿宋_GB2312" w:eastAsia="仿宋_GB2312" w:cs="仿宋_GB231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vAlign w:val="center"/>
          </w:tcPr>
          <w:p>
            <w:pPr>
              <w:tabs>
                <w:tab w:val="left" w:pos="5071"/>
              </w:tabs>
              <w:spacing w:line="400" w:lineRule="exact"/>
              <w:jc w:val="center"/>
              <w:rPr>
                <w:rFonts w:ascii="Times New Roman" w:hAnsi="Times New Roman" w:eastAsia="仿宋_GB2312"/>
              </w:rPr>
            </w:pPr>
            <w:r>
              <w:rPr>
                <w:rFonts w:hint="eastAsia" w:ascii="Times New Roman" w:hAnsi="Times New Roman" w:eastAsia="仿宋_GB2312"/>
              </w:rPr>
              <w:t>2</w:t>
            </w:r>
          </w:p>
        </w:tc>
        <w:tc>
          <w:tcPr>
            <w:tcW w:w="6208" w:type="dxa"/>
            <w:vAlign w:val="center"/>
          </w:tcPr>
          <w:p>
            <w:pPr>
              <w:tabs>
                <w:tab w:val="left" w:pos="5071"/>
              </w:tabs>
              <w:spacing w:line="400" w:lineRule="exact"/>
              <w:rPr>
                <w:rFonts w:ascii="Times New Roman" w:hAnsi="Times New Roman" w:eastAsia="仿宋_GB2312"/>
              </w:rPr>
            </w:pPr>
            <w:r>
              <w:rPr>
                <w:rFonts w:hint="eastAsia" w:ascii="Times New Roman" w:hAnsi="Times New Roman" w:eastAsia="仿宋_GB2312"/>
              </w:rPr>
              <w:t>申报人近14天内有境外旅居史，未按照有关规定落实防控措施。</w:t>
            </w:r>
          </w:p>
        </w:tc>
        <w:tc>
          <w:tcPr>
            <w:tcW w:w="1184" w:type="dxa"/>
            <w:vAlign w:val="center"/>
          </w:tcPr>
          <w:p>
            <w:pPr>
              <w:tabs>
                <w:tab w:val="left" w:pos="5071"/>
              </w:tabs>
              <w:spacing w:line="400" w:lineRule="exact"/>
              <w:jc w:val="center"/>
              <w:rPr>
                <w:rFonts w:ascii="Times New Roman" w:hAnsi="Times New Roman" w:eastAsia="仿宋_GB2312"/>
              </w:rPr>
            </w:pPr>
            <w:r>
              <w:rPr>
                <w:rFonts w:hint="eastAsia" w:ascii="仿宋_GB2312" w:hAnsi="仿宋_GB2312" w:eastAsia="仿宋_GB2312" w:cs="仿宋_GB231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vAlign w:val="center"/>
          </w:tcPr>
          <w:p>
            <w:pPr>
              <w:tabs>
                <w:tab w:val="left" w:pos="5071"/>
              </w:tabs>
              <w:spacing w:line="400" w:lineRule="exact"/>
              <w:jc w:val="center"/>
              <w:rPr>
                <w:rFonts w:ascii="Times New Roman" w:hAnsi="Times New Roman" w:eastAsia="仿宋_GB2312"/>
              </w:rPr>
            </w:pPr>
            <w:r>
              <w:rPr>
                <w:rFonts w:hint="eastAsia" w:ascii="Times New Roman" w:hAnsi="Times New Roman" w:eastAsia="仿宋_GB2312"/>
              </w:rPr>
              <w:t>3</w:t>
            </w:r>
          </w:p>
        </w:tc>
        <w:tc>
          <w:tcPr>
            <w:tcW w:w="6208" w:type="dxa"/>
            <w:vAlign w:val="center"/>
          </w:tcPr>
          <w:p>
            <w:pPr>
              <w:tabs>
                <w:tab w:val="left" w:pos="5071"/>
              </w:tabs>
              <w:rPr>
                <w:rFonts w:ascii="Times New Roman" w:hAnsi="Times New Roman" w:eastAsia="仿宋_GB2312"/>
              </w:rPr>
            </w:pPr>
            <w:r>
              <w:rPr>
                <w:rFonts w:hint="eastAsia" w:ascii="Times New Roman" w:hAnsi="Times New Roman" w:eastAsia="仿宋_GB2312"/>
              </w:rPr>
              <w:t>申报人近1</w:t>
            </w:r>
            <w:r>
              <w:rPr>
                <w:rFonts w:ascii="Times New Roman" w:hAnsi="Times New Roman" w:eastAsia="仿宋_GB2312"/>
              </w:rPr>
              <w:t>4</w:t>
            </w:r>
            <w:r>
              <w:rPr>
                <w:rFonts w:hint="eastAsia" w:ascii="Times New Roman" w:hAnsi="Times New Roman" w:eastAsia="仿宋_GB2312"/>
              </w:rPr>
              <w:t>天内从湖北省返深，未持有湖北省健康绿码或健康证明，未完成规定隔离期限。</w:t>
            </w:r>
          </w:p>
        </w:tc>
        <w:tc>
          <w:tcPr>
            <w:tcW w:w="1184" w:type="dxa"/>
            <w:vAlign w:val="center"/>
          </w:tcPr>
          <w:p>
            <w:pPr>
              <w:tabs>
                <w:tab w:val="left" w:pos="5071"/>
              </w:tabs>
              <w:spacing w:line="400" w:lineRule="exact"/>
              <w:jc w:val="center"/>
              <w:rPr>
                <w:rFonts w:ascii="仿宋_GB2312" w:hAnsi="仿宋_GB2312" w:eastAsia="仿宋_GB2312" w:cs="仿宋_GB2312"/>
              </w:rPr>
            </w:pPr>
            <w:r>
              <w:rPr>
                <w:rFonts w:hint="eastAsia" w:ascii="仿宋_GB2312" w:hAnsi="仿宋_GB2312" w:eastAsia="仿宋_GB2312" w:cs="仿宋_GB231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vAlign w:val="center"/>
          </w:tcPr>
          <w:p>
            <w:pPr>
              <w:tabs>
                <w:tab w:val="left" w:pos="5071"/>
              </w:tabs>
              <w:spacing w:line="400" w:lineRule="exact"/>
              <w:jc w:val="center"/>
              <w:rPr>
                <w:rFonts w:ascii="Times New Roman" w:hAnsi="Times New Roman" w:eastAsia="仿宋_GB2312"/>
              </w:rPr>
            </w:pPr>
            <w:r>
              <w:rPr>
                <w:rFonts w:hint="eastAsia" w:ascii="Times New Roman" w:hAnsi="Times New Roman" w:eastAsia="仿宋_GB2312"/>
              </w:rPr>
              <w:t>4</w:t>
            </w:r>
          </w:p>
        </w:tc>
        <w:tc>
          <w:tcPr>
            <w:tcW w:w="6208" w:type="dxa"/>
            <w:vAlign w:val="center"/>
          </w:tcPr>
          <w:p>
            <w:pPr>
              <w:tabs>
                <w:tab w:val="left" w:pos="5071"/>
              </w:tabs>
              <w:rPr>
                <w:rFonts w:ascii="Times New Roman" w:hAnsi="Times New Roman" w:eastAsia="仿宋_GB2312"/>
              </w:rPr>
            </w:pPr>
            <w:r>
              <w:rPr>
                <w:rFonts w:hint="eastAsia" w:ascii="Times New Roman" w:hAnsi="Times New Roman" w:eastAsia="仿宋_GB2312"/>
              </w:rPr>
              <w:t>申报人4月8日及</w:t>
            </w:r>
            <w:r>
              <w:rPr>
                <w:rFonts w:ascii="Times New Roman" w:hAnsi="Times New Roman" w:eastAsia="仿宋_GB2312"/>
              </w:rPr>
              <w:t>以后从湖北省</w:t>
            </w:r>
            <w:r>
              <w:rPr>
                <w:rFonts w:hint="eastAsia" w:ascii="Times New Roman" w:hAnsi="Times New Roman" w:eastAsia="仿宋_GB2312"/>
              </w:rPr>
              <w:t>（武汉以外）</w:t>
            </w:r>
            <w:r>
              <w:rPr>
                <w:rFonts w:ascii="Times New Roman" w:hAnsi="Times New Roman" w:eastAsia="仿宋_GB2312"/>
              </w:rPr>
              <w:t>返深</w:t>
            </w:r>
            <w:r>
              <w:rPr>
                <w:rFonts w:hint="eastAsia" w:ascii="Times New Roman" w:hAnsi="Times New Roman" w:eastAsia="仿宋_GB2312"/>
              </w:rPr>
              <w:t>，所</w:t>
            </w:r>
            <w:r>
              <w:rPr>
                <w:rFonts w:ascii="Times New Roman" w:hAnsi="Times New Roman" w:eastAsia="仿宋_GB2312"/>
              </w:rPr>
              <w:t>持</w:t>
            </w:r>
            <w:r>
              <w:rPr>
                <w:rFonts w:hint="eastAsia" w:ascii="Times New Roman" w:hAnsi="Times New Roman" w:eastAsia="仿宋_GB2312"/>
              </w:rPr>
              <w:t>健康</w:t>
            </w:r>
            <w:r>
              <w:rPr>
                <w:rFonts w:ascii="Times New Roman" w:hAnsi="Times New Roman" w:eastAsia="仿宋_GB2312"/>
              </w:rPr>
              <w:t>码为绿码，未</w:t>
            </w:r>
            <w:r>
              <w:rPr>
                <w:rFonts w:hint="eastAsia" w:ascii="Times New Roman" w:hAnsi="Times New Roman" w:eastAsia="仿宋_GB2312"/>
              </w:rPr>
              <w:t>按</w:t>
            </w:r>
            <w:r>
              <w:rPr>
                <w:rFonts w:ascii="Times New Roman" w:hAnsi="Times New Roman" w:eastAsia="仿宋_GB2312"/>
              </w:rPr>
              <w:t>要求</w:t>
            </w:r>
            <w:r>
              <w:rPr>
                <w:rFonts w:hint="eastAsia" w:ascii="Times New Roman" w:hAnsi="Times New Roman" w:eastAsia="仿宋_GB2312"/>
              </w:rPr>
              <w:t>做1次</w:t>
            </w:r>
            <w:r>
              <w:rPr>
                <w:rFonts w:ascii="Times New Roman" w:hAnsi="Times New Roman" w:eastAsia="仿宋_GB2312"/>
              </w:rPr>
              <w:t>核酸检测</w:t>
            </w:r>
            <w:r>
              <w:rPr>
                <w:rFonts w:hint="eastAsia" w:ascii="Times New Roman" w:hAnsi="Times New Roman" w:eastAsia="仿宋_GB2312"/>
              </w:rPr>
              <w:t>或居家（或在校内）健康观察未满14天；4月8日及以后从武汉</w:t>
            </w:r>
            <w:r>
              <w:rPr>
                <w:rFonts w:ascii="Times New Roman" w:hAnsi="Times New Roman" w:eastAsia="仿宋_GB2312"/>
              </w:rPr>
              <w:t>返深</w:t>
            </w:r>
            <w:r>
              <w:rPr>
                <w:rFonts w:hint="eastAsia" w:ascii="Times New Roman" w:hAnsi="Times New Roman" w:eastAsia="仿宋_GB2312"/>
              </w:rPr>
              <w:t>，</w:t>
            </w:r>
            <w:r>
              <w:rPr>
                <w:rFonts w:ascii="Times New Roman" w:hAnsi="Times New Roman" w:eastAsia="仿宋_GB2312"/>
              </w:rPr>
              <w:t>无当地</w:t>
            </w:r>
            <w:r>
              <w:rPr>
                <w:rFonts w:hint="eastAsia" w:ascii="Times New Roman" w:hAnsi="Times New Roman" w:eastAsia="仿宋_GB2312"/>
              </w:rPr>
              <w:t>7天</w:t>
            </w:r>
            <w:r>
              <w:rPr>
                <w:rFonts w:ascii="Times New Roman" w:hAnsi="Times New Roman" w:eastAsia="仿宋_GB2312"/>
              </w:rPr>
              <w:t>内核酸检测阴性报告</w:t>
            </w:r>
            <w:r>
              <w:rPr>
                <w:rFonts w:hint="eastAsia" w:ascii="Times New Roman" w:hAnsi="Times New Roman" w:eastAsia="仿宋_GB2312"/>
              </w:rPr>
              <w:t>，且抵深后没有按要求补做（返深当天和</w:t>
            </w:r>
            <w:r>
              <w:rPr>
                <w:rFonts w:ascii="Times New Roman" w:hAnsi="Times New Roman" w:eastAsia="仿宋_GB2312"/>
              </w:rPr>
              <w:t>7</w:t>
            </w:r>
            <w:r>
              <w:rPr>
                <w:rFonts w:hint="eastAsia" w:ascii="Times New Roman" w:hAnsi="Times New Roman" w:eastAsia="仿宋_GB2312"/>
              </w:rPr>
              <w:t>天后各做1次核酸检测</w:t>
            </w:r>
            <w:r>
              <w:rPr>
                <w:rFonts w:ascii="Times New Roman" w:hAnsi="Times New Roman" w:eastAsia="仿宋_GB2312"/>
              </w:rPr>
              <w:t>）</w:t>
            </w:r>
            <w:r>
              <w:rPr>
                <w:rFonts w:hint="eastAsia" w:ascii="Times New Roman" w:hAnsi="Times New Roman" w:eastAsia="仿宋_GB2312"/>
              </w:rPr>
              <w:t>。</w:t>
            </w:r>
            <w:r>
              <w:rPr>
                <w:rFonts w:hint="eastAsia" w:ascii="Times New Roman" w:hAnsi="Times New Roman" w:eastAsia="仿宋_GB2312"/>
                <w:color w:val="000000" w:themeColor="text1"/>
              </w:rPr>
              <w:t>从</w:t>
            </w:r>
            <w:r>
              <w:rPr>
                <w:rFonts w:ascii="Times New Roman" w:hAnsi="Times New Roman" w:eastAsia="仿宋_GB2312"/>
                <w:color w:val="000000" w:themeColor="text1"/>
              </w:rPr>
              <w:t>中</w:t>
            </w:r>
            <w:r>
              <w:rPr>
                <w:rFonts w:hint="eastAsia" w:ascii="Times New Roman" w:hAnsi="Times New Roman" w:eastAsia="仿宋_GB2312"/>
                <w:color w:val="000000" w:themeColor="text1"/>
              </w:rPr>
              <w:t>、</w:t>
            </w:r>
            <w:r>
              <w:rPr>
                <w:rFonts w:ascii="Times New Roman" w:hAnsi="Times New Roman" w:eastAsia="仿宋_GB2312"/>
                <w:color w:val="000000" w:themeColor="text1"/>
              </w:rPr>
              <w:t>高风险</w:t>
            </w:r>
            <w:r>
              <w:rPr>
                <w:rFonts w:hint="eastAsia" w:ascii="Times New Roman" w:hAnsi="Times New Roman" w:eastAsia="仿宋_GB2312"/>
                <w:color w:val="000000" w:themeColor="text1"/>
              </w:rPr>
              <w:t>地区返深，未</w:t>
            </w:r>
            <w:r>
              <w:rPr>
                <w:rFonts w:ascii="Times New Roman" w:hAnsi="Times New Roman" w:eastAsia="仿宋_GB2312"/>
                <w:color w:val="000000" w:themeColor="text1"/>
              </w:rPr>
              <w:t>做</w:t>
            </w:r>
            <w:r>
              <w:rPr>
                <w:rFonts w:hint="eastAsia" w:ascii="Times New Roman" w:hAnsi="Times New Roman" w:eastAsia="仿宋_GB2312"/>
                <w:color w:val="000000" w:themeColor="text1"/>
              </w:rPr>
              <w:t>1次</w:t>
            </w:r>
            <w:r>
              <w:rPr>
                <w:rFonts w:ascii="Times New Roman" w:hAnsi="Times New Roman" w:eastAsia="仿宋_GB2312"/>
                <w:color w:val="000000" w:themeColor="text1"/>
              </w:rPr>
              <w:t>核酸检测</w:t>
            </w:r>
            <w:r>
              <w:rPr>
                <w:rFonts w:hint="eastAsia" w:ascii="Times New Roman" w:hAnsi="Times New Roman" w:eastAsia="仿宋_GB2312"/>
                <w:color w:val="000000" w:themeColor="text1"/>
              </w:rPr>
              <w:t>和居家</w:t>
            </w:r>
            <w:r>
              <w:rPr>
                <w:rFonts w:ascii="Times New Roman" w:hAnsi="Times New Roman" w:eastAsia="仿宋_GB2312"/>
                <w:color w:val="000000" w:themeColor="text1"/>
              </w:rPr>
              <w:t>（</w:t>
            </w:r>
            <w:r>
              <w:rPr>
                <w:rFonts w:hint="eastAsia" w:ascii="Times New Roman" w:hAnsi="Times New Roman" w:eastAsia="仿宋_GB2312"/>
                <w:color w:val="000000" w:themeColor="text1"/>
              </w:rPr>
              <w:t>或在</w:t>
            </w:r>
            <w:r>
              <w:rPr>
                <w:rFonts w:ascii="Times New Roman" w:hAnsi="Times New Roman" w:eastAsia="仿宋_GB2312"/>
                <w:color w:val="000000" w:themeColor="text1"/>
              </w:rPr>
              <w:t>校内）健康观察</w:t>
            </w:r>
            <w:r>
              <w:rPr>
                <w:rFonts w:hint="eastAsia" w:ascii="Times New Roman" w:hAnsi="Times New Roman" w:eastAsia="仿宋_GB2312"/>
                <w:color w:val="000000" w:themeColor="text1"/>
              </w:rPr>
              <w:t>未满14天。</w:t>
            </w:r>
          </w:p>
        </w:tc>
        <w:tc>
          <w:tcPr>
            <w:tcW w:w="1184" w:type="dxa"/>
            <w:vAlign w:val="center"/>
          </w:tcPr>
          <w:p>
            <w:pPr>
              <w:tabs>
                <w:tab w:val="left" w:pos="5071"/>
              </w:tabs>
              <w:spacing w:line="400" w:lineRule="exact"/>
              <w:jc w:val="center"/>
              <w:rPr>
                <w:rFonts w:ascii="仿宋_GB2312" w:hAnsi="仿宋_GB2312" w:eastAsia="仿宋_GB2312" w:cs="仿宋_GB2312"/>
              </w:rPr>
            </w:pPr>
            <w:r>
              <w:rPr>
                <w:rFonts w:hint="eastAsia" w:ascii="仿宋_GB2312" w:hAnsi="仿宋_GB2312" w:eastAsia="仿宋_GB2312" w:cs="仿宋_GB231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vAlign w:val="center"/>
          </w:tcPr>
          <w:p>
            <w:pPr>
              <w:tabs>
                <w:tab w:val="left" w:pos="5071"/>
              </w:tabs>
              <w:spacing w:line="400" w:lineRule="exact"/>
              <w:jc w:val="center"/>
              <w:rPr>
                <w:rFonts w:ascii="Times New Roman" w:hAnsi="Times New Roman" w:eastAsia="仿宋_GB2312"/>
              </w:rPr>
            </w:pPr>
            <w:r>
              <w:rPr>
                <w:rFonts w:ascii="Times New Roman" w:hAnsi="Times New Roman" w:eastAsia="仿宋_GB2312"/>
              </w:rPr>
              <w:t>5</w:t>
            </w:r>
          </w:p>
        </w:tc>
        <w:tc>
          <w:tcPr>
            <w:tcW w:w="6208" w:type="dxa"/>
            <w:vAlign w:val="center"/>
          </w:tcPr>
          <w:p>
            <w:pPr>
              <w:tabs>
                <w:tab w:val="left" w:pos="5071"/>
              </w:tabs>
              <w:rPr>
                <w:rFonts w:ascii="Times New Roman" w:hAnsi="Times New Roman" w:eastAsia="仿宋_GB2312"/>
              </w:rPr>
            </w:pPr>
            <w:r>
              <w:rPr>
                <w:rFonts w:hint="eastAsia" w:ascii="Times New Roman" w:hAnsi="Times New Roman" w:eastAsia="仿宋_GB2312"/>
              </w:rPr>
              <w:t>申报人近14天内接触过疫情高风险人员（包括</w:t>
            </w:r>
            <w:r>
              <w:rPr>
                <w:rFonts w:ascii="Times New Roman" w:hAnsi="Times New Roman" w:eastAsia="仿宋_GB2312"/>
              </w:rPr>
              <w:t>确诊</w:t>
            </w:r>
            <w:r>
              <w:rPr>
                <w:rFonts w:hint="eastAsia" w:ascii="Times New Roman" w:hAnsi="Times New Roman" w:eastAsia="仿宋_GB2312"/>
              </w:rPr>
              <w:t>病例</w:t>
            </w:r>
            <w:r>
              <w:rPr>
                <w:rFonts w:ascii="Times New Roman" w:hAnsi="Times New Roman" w:eastAsia="仿宋_GB2312"/>
              </w:rPr>
              <w:t>、疑似病</w:t>
            </w:r>
            <w:r>
              <w:rPr>
                <w:rFonts w:hint="eastAsia" w:ascii="Times New Roman" w:hAnsi="Times New Roman" w:eastAsia="仿宋_GB2312"/>
              </w:rPr>
              <w:t>例，无</w:t>
            </w:r>
            <w:r>
              <w:rPr>
                <w:rFonts w:ascii="Times New Roman" w:hAnsi="Times New Roman" w:eastAsia="仿宋_GB2312"/>
              </w:rPr>
              <w:t>症状感染者等</w:t>
            </w:r>
            <w:r>
              <w:rPr>
                <w:rFonts w:hint="eastAsia" w:ascii="Times New Roman" w:hAnsi="Times New Roman" w:eastAsia="仿宋_GB2312"/>
              </w:rPr>
              <w:t>）。</w:t>
            </w:r>
          </w:p>
        </w:tc>
        <w:tc>
          <w:tcPr>
            <w:tcW w:w="1184" w:type="dxa"/>
            <w:vAlign w:val="center"/>
          </w:tcPr>
          <w:p>
            <w:pPr>
              <w:tabs>
                <w:tab w:val="left" w:pos="5071"/>
              </w:tabs>
              <w:spacing w:line="400" w:lineRule="exact"/>
              <w:jc w:val="center"/>
              <w:rPr>
                <w:rFonts w:ascii="Times New Roman" w:hAnsi="Times New Roman" w:eastAsia="仿宋_GB2312"/>
              </w:rPr>
            </w:pPr>
            <w:r>
              <w:rPr>
                <w:rFonts w:hint="eastAsia" w:ascii="仿宋_GB2312" w:hAnsi="仿宋_GB2312" w:eastAsia="仿宋_GB2312" w:cs="仿宋_GB231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vAlign w:val="center"/>
          </w:tcPr>
          <w:p>
            <w:pPr>
              <w:tabs>
                <w:tab w:val="left" w:pos="5071"/>
              </w:tabs>
              <w:spacing w:line="400" w:lineRule="exact"/>
              <w:jc w:val="center"/>
              <w:rPr>
                <w:rFonts w:ascii="Times New Roman" w:hAnsi="Times New Roman" w:eastAsia="仿宋_GB2312"/>
              </w:rPr>
            </w:pPr>
            <w:r>
              <w:rPr>
                <w:rFonts w:ascii="Times New Roman" w:hAnsi="Times New Roman" w:eastAsia="仿宋_GB2312"/>
              </w:rPr>
              <w:t>6</w:t>
            </w:r>
          </w:p>
        </w:tc>
        <w:tc>
          <w:tcPr>
            <w:tcW w:w="6208" w:type="dxa"/>
            <w:vAlign w:val="center"/>
          </w:tcPr>
          <w:p>
            <w:pPr>
              <w:tabs>
                <w:tab w:val="left" w:pos="5071"/>
              </w:tabs>
              <w:spacing w:line="400" w:lineRule="exact"/>
              <w:rPr>
                <w:rFonts w:ascii="Times New Roman" w:hAnsi="Times New Roman" w:eastAsia="仿宋_GB2312"/>
              </w:rPr>
            </w:pPr>
            <w:r>
              <w:rPr>
                <w:rFonts w:hint="eastAsia" w:ascii="Times New Roman" w:hAnsi="Times New Roman" w:eastAsia="仿宋_GB2312"/>
              </w:rPr>
              <w:t>申报人正在实施集中或居家隔离医学观察。</w:t>
            </w:r>
          </w:p>
        </w:tc>
        <w:tc>
          <w:tcPr>
            <w:tcW w:w="1184" w:type="dxa"/>
            <w:vAlign w:val="center"/>
          </w:tcPr>
          <w:p>
            <w:pPr>
              <w:tabs>
                <w:tab w:val="left" w:pos="5071"/>
              </w:tabs>
              <w:spacing w:line="400" w:lineRule="exact"/>
              <w:jc w:val="center"/>
              <w:rPr>
                <w:rFonts w:ascii="Times New Roman" w:hAnsi="Times New Roman" w:eastAsia="仿宋_GB2312"/>
              </w:rPr>
            </w:pPr>
            <w:r>
              <w:rPr>
                <w:rFonts w:hint="eastAsia" w:ascii="仿宋_GB2312" w:hAnsi="仿宋_GB2312" w:eastAsia="仿宋_GB2312" w:cs="仿宋_GB231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vAlign w:val="center"/>
          </w:tcPr>
          <w:p>
            <w:pPr>
              <w:tabs>
                <w:tab w:val="left" w:pos="5071"/>
              </w:tabs>
              <w:spacing w:line="400" w:lineRule="exact"/>
              <w:jc w:val="center"/>
              <w:rPr>
                <w:rFonts w:ascii="Times New Roman" w:hAnsi="Times New Roman" w:eastAsia="仿宋_GB2312"/>
              </w:rPr>
            </w:pPr>
            <w:r>
              <w:rPr>
                <w:rFonts w:ascii="Times New Roman" w:hAnsi="Times New Roman" w:eastAsia="仿宋_GB2312"/>
              </w:rPr>
              <w:t>7</w:t>
            </w:r>
          </w:p>
        </w:tc>
        <w:tc>
          <w:tcPr>
            <w:tcW w:w="6208" w:type="dxa"/>
            <w:vAlign w:val="center"/>
          </w:tcPr>
          <w:p>
            <w:pPr>
              <w:tabs>
                <w:tab w:val="left" w:pos="5071"/>
              </w:tabs>
              <w:spacing w:line="400" w:lineRule="exact"/>
              <w:rPr>
                <w:rFonts w:ascii="Times New Roman" w:hAnsi="Times New Roman" w:eastAsia="仿宋_GB2312"/>
              </w:rPr>
            </w:pPr>
            <w:r>
              <w:rPr>
                <w:rFonts w:hint="eastAsia" w:ascii="Times New Roman" w:hAnsi="Times New Roman" w:eastAsia="仿宋_GB2312"/>
              </w:rPr>
              <w:t>申报人有发热、干咳、气促等呼吸道症状且未</w:t>
            </w:r>
            <w:r>
              <w:rPr>
                <w:rFonts w:ascii="Times New Roman" w:hAnsi="Times New Roman" w:eastAsia="仿宋_GB2312"/>
              </w:rPr>
              <w:t>到</w:t>
            </w:r>
            <w:r>
              <w:rPr>
                <w:rFonts w:hint="eastAsia" w:ascii="Times New Roman" w:hAnsi="Times New Roman" w:eastAsia="仿宋_GB2312"/>
              </w:rPr>
              <w:t>医院</w:t>
            </w:r>
            <w:r>
              <w:rPr>
                <w:rFonts w:ascii="Times New Roman" w:hAnsi="Times New Roman" w:eastAsia="仿宋_GB2312"/>
              </w:rPr>
              <w:t>发热门诊就诊</w:t>
            </w:r>
            <w:r>
              <w:rPr>
                <w:rFonts w:hint="eastAsia" w:ascii="Times New Roman" w:hAnsi="Times New Roman" w:eastAsia="仿宋_GB2312"/>
              </w:rPr>
              <w:t>。</w:t>
            </w:r>
          </w:p>
        </w:tc>
        <w:tc>
          <w:tcPr>
            <w:tcW w:w="1184" w:type="dxa"/>
            <w:vAlign w:val="center"/>
          </w:tcPr>
          <w:p>
            <w:pPr>
              <w:tabs>
                <w:tab w:val="left" w:pos="5071"/>
              </w:tabs>
              <w:spacing w:line="400" w:lineRule="exact"/>
              <w:jc w:val="center"/>
              <w:rPr>
                <w:rFonts w:ascii="仿宋_GB2312" w:hAnsi="仿宋_GB2312" w:eastAsia="仿宋_GB2312" w:cs="仿宋_GB2312"/>
              </w:rPr>
            </w:pPr>
            <w:r>
              <w:rPr>
                <w:rFonts w:hint="eastAsia" w:ascii="仿宋_GB2312" w:hAnsi="仿宋_GB2312" w:eastAsia="仿宋_GB2312" w:cs="仿宋_GB231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vAlign w:val="center"/>
          </w:tcPr>
          <w:p>
            <w:pPr>
              <w:tabs>
                <w:tab w:val="left" w:pos="5071"/>
              </w:tabs>
              <w:spacing w:line="400" w:lineRule="exact"/>
              <w:jc w:val="center"/>
              <w:rPr>
                <w:rFonts w:ascii="Times New Roman" w:hAnsi="Times New Roman" w:eastAsia="仿宋_GB2312"/>
              </w:rPr>
            </w:pPr>
            <w:r>
              <w:rPr>
                <w:rFonts w:ascii="Times New Roman" w:hAnsi="Times New Roman" w:eastAsia="仿宋_GB2312"/>
              </w:rPr>
              <w:t>8</w:t>
            </w:r>
          </w:p>
        </w:tc>
        <w:tc>
          <w:tcPr>
            <w:tcW w:w="6208" w:type="dxa"/>
            <w:vAlign w:val="center"/>
          </w:tcPr>
          <w:p>
            <w:pPr>
              <w:tabs>
                <w:tab w:val="left" w:pos="5071"/>
              </w:tabs>
              <w:spacing w:line="400" w:lineRule="exact"/>
              <w:rPr>
                <w:rFonts w:ascii="Times New Roman" w:hAnsi="Times New Roman" w:eastAsia="仿宋_GB2312"/>
              </w:rPr>
            </w:pPr>
            <w:r>
              <w:rPr>
                <w:rFonts w:hint="eastAsia" w:ascii="Times New Roman" w:hAnsi="Times New Roman" w:eastAsia="仿宋_GB2312"/>
              </w:rPr>
              <w:t>申报人为新冠肺炎确诊病例、疑似病例、无症状感染者或</w:t>
            </w:r>
            <w:r>
              <w:rPr>
                <w:rFonts w:ascii="Times New Roman" w:hAnsi="Times New Roman" w:eastAsia="仿宋_GB2312"/>
              </w:rPr>
              <w:t>密切接触者</w:t>
            </w:r>
            <w:r>
              <w:rPr>
                <w:rFonts w:hint="eastAsia" w:ascii="Times New Roman" w:hAnsi="Times New Roman" w:eastAsia="仿宋_GB2312"/>
              </w:rPr>
              <w:t>，正接受治疗或医学观察。</w:t>
            </w:r>
          </w:p>
        </w:tc>
        <w:tc>
          <w:tcPr>
            <w:tcW w:w="1184" w:type="dxa"/>
            <w:vAlign w:val="center"/>
          </w:tcPr>
          <w:p>
            <w:pPr>
              <w:tabs>
                <w:tab w:val="left" w:pos="5071"/>
              </w:tabs>
              <w:spacing w:line="400" w:lineRule="exact"/>
              <w:jc w:val="center"/>
              <w:rPr>
                <w:rFonts w:ascii="仿宋_GB2312" w:hAnsi="仿宋_GB2312" w:eastAsia="仿宋_GB2312" w:cs="仿宋_GB2312"/>
              </w:rPr>
            </w:pPr>
            <w:r>
              <w:rPr>
                <w:rFonts w:hint="eastAsia" w:ascii="仿宋_GB2312" w:hAnsi="仿宋_GB2312" w:eastAsia="仿宋_GB2312" w:cs="仿宋_GB231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vAlign w:val="center"/>
          </w:tcPr>
          <w:p>
            <w:pPr>
              <w:tabs>
                <w:tab w:val="left" w:pos="5071"/>
              </w:tabs>
              <w:spacing w:line="400" w:lineRule="exact"/>
              <w:jc w:val="center"/>
              <w:rPr>
                <w:rFonts w:ascii="Times New Roman" w:hAnsi="Times New Roman" w:eastAsia="仿宋_GB2312"/>
              </w:rPr>
            </w:pPr>
            <w:r>
              <w:rPr>
                <w:rFonts w:ascii="Times New Roman" w:hAnsi="Times New Roman" w:eastAsia="仿宋_GB2312"/>
              </w:rPr>
              <w:t>9</w:t>
            </w:r>
          </w:p>
        </w:tc>
        <w:tc>
          <w:tcPr>
            <w:tcW w:w="6208" w:type="dxa"/>
            <w:vAlign w:val="center"/>
          </w:tcPr>
          <w:p>
            <w:pPr>
              <w:tabs>
                <w:tab w:val="left" w:pos="5071"/>
              </w:tabs>
              <w:spacing w:line="400" w:lineRule="exact"/>
              <w:rPr>
                <w:rFonts w:ascii="Times New Roman" w:hAnsi="Times New Roman" w:eastAsia="仿宋_GB2312"/>
              </w:rPr>
            </w:pPr>
            <w:r>
              <w:rPr>
                <w:rFonts w:hint="eastAsia" w:ascii="Times New Roman" w:hAnsi="Times New Roman" w:eastAsia="仿宋_GB2312"/>
              </w:rPr>
              <w:t>申报人共同生活的家庭成员近14天内有境外旅居</w:t>
            </w:r>
            <w:r>
              <w:rPr>
                <w:rFonts w:ascii="Times New Roman" w:hAnsi="Times New Roman" w:eastAsia="仿宋_GB2312"/>
              </w:rPr>
              <w:t>史</w:t>
            </w:r>
            <w:r>
              <w:rPr>
                <w:rFonts w:hint="eastAsia" w:ascii="Times New Roman" w:hAnsi="Times New Roman" w:eastAsia="仿宋_GB2312"/>
              </w:rPr>
              <w:t>，未按照有关规定落实防控措施。</w:t>
            </w:r>
          </w:p>
        </w:tc>
        <w:tc>
          <w:tcPr>
            <w:tcW w:w="1184" w:type="dxa"/>
            <w:vAlign w:val="center"/>
          </w:tcPr>
          <w:p>
            <w:pPr>
              <w:tabs>
                <w:tab w:val="left" w:pos="5071"/>
              </w:tabs>
              <w:spacing w:line="400" w:lineRule="exact"/>
              <w:jc w:val="center"/>
              <w:rPr>
                <w:rFonts w:ascii="仿宋_GB2312" w:hAnsi="仿宋_GB2312" w:eastAsia="仿宋_GB2312" w:cs="仿宋_GB2312"/>
              </w:rPr>
            </w:pPr>
            <w:r>
              <w:rPr>
                <w:rFonts w:hint="eastAsia" w:ascii="仿宋_GB2312" w:hAnsi="仿宋_GB2312" w:eastAsia="仿宋_GB2312" w:cs="仿宋_GB231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vAlign w:val="center"/>
          </w:tcPr>
          <w:p>
            <w:pPr>
              <w:tabs>
                <w:tab w:val="left" w:pos="5071"/>
              </w:tabs>
              <w:spacing w:line="400" w:lineRule="exact"/>
              <w:jc w:val="center"/>
              <w:rPr>
                <w:rFonts w:ascii="Times New Roman" w:hAnsi="Times New Roman" w:eastAsia="仿宋_GB2312"/>
              </w:rPr>
            </w:pPr>
            <w:r>
              <w:rPr>
                <w:rFonts w:ascii="Times New Roman" w:hAnsi="Times New Roman" w:eastAsia="仿宋_GB2312"/>
              </w:rPr>
              <w:t>10</w:t>
            </w:r>
          </w:p>
        </w:tc>
        <w:tc>
          <w:tcPr>
            <w:tcW w:w="6208" w:type="dxa"/>
            <w:vAlign w:val="center"/>
          </w:tcPr>
          <w:p>
            <w:pPr>
              <w:tabs>
                <w:tab w:val="left" w:pos="5071"/>
              </w:tabs>
              <w:spacing w:line="400" w:lineRule="exact"/>
              <w:rPr>
                <w:rFonts w:ascii="Times New Roman" w:hAnsi="Times New Roman" w:eastAsia="仿宋_GB2312"/>
              </w:rPr>
            </w:pPr>
            <w:r>
              <w:rPr>
                <w:rFonts w:hint="eastAsia" w:ascii="Times New Roman" w:hAnsi="Times New Roman" w:eastAsia="仿宋_GB2312"/>
              </w:rPr>
              <w:t>申报人共同生活的家庭成员有发热、干咳、气促等症状，</w:t>
            </w:r>
            <w:r>
              <w:rPr>
                <w:rFonts w:hint="eastAsia" w:ascii="仿宋_GB2312" w:hAnsi="宋体" w:eastAsia="仿宋_GB2312" w:cs="宋体"/>
              </w:rPr>
              <w:t>且未到医院发热门诊就诊</w:t>
            </w:r>
            <w:r>
              <w:rPr>
                <w:rFonts w:hint="eastAsia" w:ascii="Times New Roman" w:hAnsi="Times New Roman" w:eastAsia="仿宋_GB2312"/>
              </w:rPr>
              <w:t>。</w:t>
            </w:r>
          </w:p>
        </w:tc>
        <w:tc>
          <w:tcPr>
            <w:tcW w:w="1184" w:type="dxa"/>
            <w:vAlign w:val="center"/>
          </w:tcPr>
          <w:p>
            <w:pPr>
              <w:tabs>
                <w:tab w:val="left" w:pos="5071"/>
              </w:tabs>
              <w:spacing w:line="400" w:lineRule="exact"/>
              <w:jc w:val="center"/>
              <w:rPr>
                <w:rFonts w:ascii="仿宋_GB2312" w:hAnsi="仿宋_GB2312" w:eastAsia="仿宋_GB2312" w:cs="仿宋_GB2312"/>
              </w:rPr>
            </w:pPr>
            <w:r>
              <w:rPr>
                <w:rFonts w:hint="eastAsia" w:ascii="仿宋_GB2312" w:hAnsi="仿宋_GB2312" w:eastAsia="仿宋_GB2312" w:cs="仿宋_GB2312"/>
              </w:rPr>
              <w:t>是□ 否□</w:t>
            </w:r>
          </w:p>
        </w:tc>
      </w:tr>
    </w:tbl>
    <w:p>
      <w:pPr>
        <w:keepNext/>
        <w:keepLines/>
        <w:spacing w:line="300" w:lineRule="exact"/>
        <w:outlineLvl w:val="0"/>
        <w:rPr>
          <w:rFonts w:ascii="仿宋" w:hAnsi="仿宋" w:eastAsia="仿宋"/>
          <w:b/>
          <w:bCs/>
          <w:kern w:val="44"/>
          <w:sz w:val="30"/>
          <w:szCs w:val="30"/>
        </w:rPr>
      </w:pPr>
      <w:r>
        <w:rPr>
          <w:rFonts w:hint="eastAsia" w:ascii="仿宋" w:hAnsi="仿宋" w:eastAsia="仿宋"/>
          <w:b/>
          <w:bCs/>
          <w:kern w:val="44"/>
          <w:sz w:val="30"/>
          <w:szCs w:val="30"/>
        </w:rPr>
        <w:t>申报说明</w:t>
      </w:r>
    </w:p>
    <w:p>
      <w:pPr>
        <w:tabs>
          <w:tab w:val="left" w:pos="5071"/>
        </w:tabs>
        <w:spacing w:line="300" w:lineRule="exact"/>
        <w:ind w:left="113" w:leftChars="54" w:firstLine="315" w:firstLineChars="150"/>
        <w:jc w:val="left"/>
        <w:rPr>
          <w:rFonts w:ascii="Times New Roman" w:hAnsi="Times New Roman" w:eastAsia="仿宋_GB2312"/>
        </w:rPr>
      </w:pPr>
      <w:r>
        <w:rPr>
          <w:rFonts w:hint="eastAsia" w:ascii="Times New Roman" w:hAnsi="Times New Roman" w:eastAsia="仿宋_GB2312"/>
        </w:rPr>
        <w:t>1. 本卡在复课</w:t>
      </w:r>
      <w:r>
        <w:rPr>
          <w:rFonts w:ascii="Times New Roman" w:hAnsi="Times New Roman" w:eastAsia="仿宋_GB2312"/>
        </w:rPr>
        <w:t>前两天</w:t>
      </w:r>
      <w:r>
        <w:rPr>
          <w:rFonts w:hint="eastAsia" w:ascii="Times New Roman" w:hAnsi="Times New Roman" w:eastAsia="仿宋_GB2312"/>
        </w:rPr>
        <w:t>进行</w:t>
      </w:r>
      <w:r>
        <w:rPr>
          <w:rFonts w:ascii="Times New Roman" w:hAnsi="Times New Roman" w:eastAsia="仿宋_GB2312"/>
        </w:rPr>
        <w:t>申报，</w:t>
      </w:r>
      <w:r>
        <w:rPr>
          <w:rFonts w:hint="eastAsia" w:ascii="Times New Roman" w:hAnsi="Times New Roman" w:eastAsia="仿宋_GB2312"/>
        </w:rPr>
        <w:t>机构</w:t>
      </w:r>
      <w:r>
        <w:rPr>
          <w:rFonts w:ascii="Times New Roman" w:hAnsi="Times New Roman" w:eastAsia="仿宋_GB2312"/>
        </w:rPr>
        <w:t>审核后</w:t>
      </w:r>
      <w:r>
        <w:rPr>
          <w:rFonts w:hint="eastAsia" w:ascii="Times New Roman" w:hAnsi="Times New Roman" w:eastAsia="仿宋_GB2312"/>
        </w:rPr>
        <w:t>确定参训名单。</w:t>
      </w:r>
    </w:p>
    <w:p>
      <w:pPr>
        <w:tabs>
          <w:tab w:val="left" w:pos="5071"/>
        </w:tabs>
        <w:spacing w:line="300" w:lineRule="exact"/>
        <w:ind w:left="113" w:leftChars="54" w:firstLine="315" w:firstLineChars="150"/>
        <w:jc w:val="left"/>
        <w:rPr>
          <w:rFonts w:ascii="Times New Roman" w:hAnsi="Times New Roman" w:eastAsia="仿宋_GB2312"/>
        </w:rPr>
      </w:pPr>
      <w:r>
        <w:rPr>
          <w:rFonts w:hint="eastAsia" w:ascii="Times New Roman" w:hAnsi="Times New Roman" w:eastAsia="仿宋_GB2312"/>
        </w:rPr>
        <w:t>2.</w:t>
      </w:r>
      <w:r>
        <w:rPr>
          <w:rFonts w:ascii="Times New Roman" w:hAnsi="Times New Roman" w:eastAsia="仿宋_GB2312"/>
        </w:rPr>
        <w:t>.</w:t>
      </w:r>
      <w:r>
        <w:rPr>
          <w:rFonts w:hint="eastAsia" w:ascii="Times New Roman" w:hAnsi="Times New Roman" w:eastAsia="仿宋_GB2312"/>
        </w:rPr>
        <w:t>以上健康情况，若所有指标均为“否”，即符合返校条件。若不符合，则需在员工或家长指导下，根据疫情防控要求符合条件后再行申报。</w:t>
      </w:r>
    </w:p>
    <w:p>
      <w:pPr>
        <w:spacing w:line="300" w:lineRule="exact"/>
        <w:ind w:firstLine="420"/>
        <w:rPr>
          <w:rFonts w:ascii="Times New Roman" w:hAnsi="Times New Roman" w:eastAsia="仿宋_GB2312"/>
        </w:rPr>
      </w:pPr>
      <w:r>
        <w:rPr>
          <w:rFonts w:hint="eastAsia" w:ascii="Times New Roman" w:hAnsi="Times New Roman" w:eastAsia="仿宋_GB2312"/>
        </w:rPr>
        <w:t>3. 不符合复课要求的，由机构相关负责人反馈给家长，并做好登记、上报和追踪。</w:t>
      </w:r>
    </w:p>
    <w:p>
      <w:pPr>
        <w:keepNext/>
        <w:keepLines/>
        <w:spacing w:line="300" w:lineRule="exact"/>
        <w:outlineLvl w:val="0"/>
        <w:rPr>
          <w:rFonts w:ascii="仿宋" w:hAnsi="仿宋" w:eastAsia="仿宋"/>
          <w:b/>
          <w:bCs/>
          <w:kern w:val="44"/>
          <w:sz w:val="30"/>
          <w:szCs w:val="30"/>
        </w:rPr>
      </w:pPr>
      <w:r>
        <w:rPr>
          <w:rFonts w:hint="eastAsia" w:ascii="仿宋" w:hAnsi="仿宋" w:eastAsia="仿宋"/>
          <w:b/>
          <w:bCs/>
          <w:kern w:val="44"/>
          <w:sz w:val="30"/>
          <w:szCs w:val="30"/>
        </w:rPr>
        <w:t>申报承诺</w:t>
      </w:r>
    </w:p>
    <w:p>
      <w:pPr>
        <w:spacing w:line="300" w:lineRule="exact"/>
        <w:ind w:firstLine="525" w:firstLineChars="250"/>
        <w:rPr>
          <w:rFonts w:ascii="Times New Roman" w:hAnsi="Times New Roman" w:eastAsia="仿宋_GB2312"/>
        </w:rPr>
      </w:pPr>
      <w:r>
        <w:rPr>
          <w:rFonts w:hint="eastAsia" w:ascii="Times New Roman" w:hAnsi="Times New Roman" w:eastAsia="仿宋_GB2312"/>
        </w:rPr>
        <w:t>以上信息均如实填写，如有隐瞒，愿意承担一切后果，特此承诺！</w:t>
      </w:r>
    </w:p>
    <w:p>
      <w:pPr>
        <w:spacing w:line="300" w:lineRule="exact"/>
        <w:rPr>
          <w:rFonts w:ascii="仿宋_GB2312" w:hAnsi="黑体" w:eastAsia="仿宋_GB2312" w:cs="黑体"/>
          <w:sz w:val="32"/>
          <w:szCs w:val="32"/>
        </w:rPr>
        <w:sectPr>
          <w:pgSz w:w="11906" w:h="16838"/>
          <w:pgMar w:top="1701" w:right="1474" w:bottom="1701" w:left="1587" w:header="851" w:footer="992" w:gutter="0"/>
          <w:cols w:space="0" w:num="1"/>
          <w:titlePg/>
          <w:docGrid w:type="lines" w:linePitch="312" w:charSpace="0"/>
        </w:sectPr>
      </w:pPr>
      <w:r>
        <w:rPr>
          <w:rFonts w:hint="eastAsia" w:ascii="Times New Roman" w:hAnsi="Times New Roman" w:eastAsia="仿宋_GB2312"/>
        </w:rPr>
        <w:t>申报人：                     申报人</w:t>
      </w:r>
      <w:r>
        <w:rPr>
          <w:rFonts w:ascii="Times New Roman" w:hAnsi="Times New Roman" w:eastAsia="仿宋_GB2312"/>
        </w:rPr>
        <w:t>监护人</w:t>
      </w:r>
      <w:r>
        <w:rPr>
          <w:rFonts w:hint="eastAsia" w:ascii="仿宋_GB2312" w:hAnsi="黑体" w:eastAsia="仿宋_GB2312" w:cs="黑体"/>
          <w:sz w:val="32"/>
          <w:szCs w:val="32"/>
        </w:rPr>
        <w:t>：</w:t>
      </w:r>
    </w:p>
    <w:p>
      <w:pPr>
        <w:spacing w:line="580" w:lineRule="exact"/>
        <w:rPr>
          <w:rFonts w:ascii="黑体" w:hAnsi="黑体" w:eastAsia="黑体" w:cs="黑体"/>
          <w:sz w:val="32"/>
          <w:szCs w:val="32"/>
        </w:rPr>
      </w:pPr>
      <w:r>
        <w:rPr>
          <w:rFonts w:hint="eastAsia" w:ascii="黑体" w:hAnsi="黑体" w:eastAsia="黑体" w:cs="黑体"/>
          <w:sz w:val="32"/>
          <w:szCs w:val="32"/>
        </w:rPr>
        <w:t>附件3-5</w:t>
      </w:r>
    </w:p>
    <w:p>
      <w:pPr>
        <w:autoSpaceDE w:val="0"/>
        <w:autoSpaceDN w:val="0"/>
        <w:adjustRightInd w:val="0"/>
        <w:spacing w:line="580" w:lineRule="exact"/>
        <w:jc w:val="left"/>
        <w:rPr>
          <w:rFonts w:ascii="方正小标宋简体" w:eastAsia="方正小标宋简体" w:cs="黑体"/>
          <w:kern w:val="0"/>
          <w:sz w:val="44"/>
          <w:szCs w:val="44"/>
        </w:rPr>
      </w:pPr>
      <w:r>
        <w:rPr>
          <w:rFonts w:hint="eastAsia" w:ascii="黑体" w:eastAsia="黑体" w:cs="黑体"/>
          <w:kern w:val="0"/>
          <w:sz w:val="32"/>
          <w:szCs w:val="32"/>
        </w:rPr>
        <w:t xml:space="preserve">     </w:t>
      </w:r>
      <w:r>
        <w:rPr>
          <w:rFonts w:hint="eastAsia" w:ascii="方正小标宋简体" w:eastAsia="方正小标宋简体" w:cs="黑体"/>
          <w:kern w:val="0"/>
          <w:sz w:val="44"/>
          <w:szCs w:val="44"/>
        </w:rPr>
        <w:t>日常清洁消毒和常见消毒剂配置指引</w:t>
      </w:r>
    </w:p>
    <w:p>
      <w:pPr>
        <w:autoSpaceDE w:val="0"/>
        <w:autoSpaceDN w:val="0"/>
        <w:adjustRightInd w:val="0"/>
        <w:spacing w:line="580" w:lineRule="exact"/>
        <w:ind w:firstLine="640" w:firstLineChars="200"/>
        <w:jc w:val="left"/>
        <w:rPr>
          <w:rFonts w:ascii="黑体" w:eastAsia="黑体" w:cs="黑体"/>
          <w:kern w:val="0"/>
          <w:sz w:val="32"/>
          <w:szCs w:val="32"/>
        </w:rPr>
      </w:pPr>
      <w:r>
        <w:rPr>
          <w:rFonts w:hint="eastAsia" w:ascii="黑体" w:eastAsia="黑体" w:cs="黑体"/>
          <w:kern w:val="0"/>
          <w:sz w:val="32"/>
          <w:szCs w:val="32"/>
        </w:rPr>
        <w:t>一、日常清洁消毒</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以清洁为主，预防性消毒为辅，应避免过度消毒，受到污染时随时进行清洁消毒。消毒方法如下：</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（一）空气消毒：可采用紫外线灯照射或空气消毒机消毒。</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紫外线灯照射消毒：在无人条件下开启，每次照射不少于</w:t>
      </w:r>
      <w:r>
        <w:rPr>
          <w:rFonts w:ascii="仿宋_GB2312" w:eastAsia="仿宋_GB2312" w:cs="仿宋_GB2312"/>
          <w:kern w:val="0"/>
          <w:sz w:val="32"/>
          <w:szCs w:val="32"/>
        </w:rPr>
        <w:t>1</w:t>
      </w:r>
      <w:r>
        <w:rPr>
          <w:rFonts w:hint="eastAsia" w:ascii="仿宋_GB2312" w:eastAsia="仿宋_GB2312" w:cs="仿宋_GB2312"/>
          <w:kern w:val="0"/>
          <w:sz w:val="32"/>
          <w:szCs w:val="32"/>
        </w:rPr>
        <w:t>小时，每天一次。</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空气消毒机消毒：可采用紫外线循环风、高压静电循环风等类型的空气消毒机，按照设备使用说明书操作使用。提倡有人条件下开启使用。</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（二）表面：可使用含氯消毒剂（有效氯浓度</w:t>
      </w:r>
      <w:r>
        <w:rPr>
          <w:rFonts w:ascii="仿宋_GB2312" w:eastAsia="仿宋_GB2312" w:cs="仿宋_GB2312"/>
          <w:kern w:val="0"/>
          <w:sz w:val="32"/>
          <w:szCs w:val="32"/>
        </w:rPr>
        <w:t>250 mg/L</w:t>
      </w:r>
      <w:r>
        <w:rPr>
          <w:rFonts w:hint="eastAsia" w:ascii="仿宋_GB2312" w:eastAsia="仿宋_GB2312" w:cs="仿宋_GB2312"/>
          <w:kern w:val="0"/>
          <w:sz w:val="32"/>
          <w:szCs w:val="32"/>
        </w:rPr>
        <w:t>～</w:t>
      </w:r>
      <w:r>
        <w:rPr>
          <w:rFonts w:ascii="仿宋_GB2312" w:eastAsia="仿宋_GB2312" w:cs="仿宋_GB2312"/>
          <w:kern w:val="0"/>
          <w:sz w:val="32"/>
          <w:szCs w:val="32"/>
        </w:rPr>
        <w:t>500 mg/L</w:t>
      </w:r>
      <w:r>
        <w:rPr>
          <w:rFonts w:hint="eastAsia" w:ascii="仿宋_GB2312" w:eastAsia="仿宋_GB2312" w:cs="仿宋_GB2312"/>
          <w:kern w:val="0"/>
          <w:sz w:val="32"/>
          <w:szCs w:val="32"/>
        </w:rPr>
        <w:t>）擦拭，作用</w:t>
      </w:r>
      <w:r>
        <w:rPr>
          <w:rFonts w:ascii="仿宋_GB2312" w:eastAsia="仿宋_GB2312" w:cs="仿宋_GB2312"/>
          <w:kern w:val="0"/>
          <w:sz w:val="32"/>
          <w:szCs w:val="32"/>
        </w:rPr>
        <w:t xml:space="preserve">30 </w:t>
      </w:r>
      <w:r>
        <w:rPr>
          <w:rFonts w:hint="eastAsia" w:ascii="仿宋_GB2312" w:eastAsia="仿宋_GB2312" w:cs="仿宋_GB2312"/>
          <w:kern w:val="0"/>
          <w:sz w:val="32"/>
          <w:szCs w:val="32"/>
        </w:rPr>
        <w:t>分钟，再用清水擦净。</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（三）地面：可使用含氯消毒剂（有效氯浓度</w:t>
      </w:r>
      <w:r>
        <w:rPr>
          <w:rFonts w:ascii="仿宋_GB2312" w:eastAsia="仿宋_GB2312" w:cs="仿宋_GB2312"/>
          <w:kern w:val="0"/>
          <w:sz w:val="32"/>
          <w:szCs w:val="32"/>
        </w:rPr>
        <w:t>250 mg/L</w:t>
      </w:r>
      <w:r>
        <w:rPr>
          <w:rFonts w:hint="eastAsia" w:ascii="仿宋_GB2312" w:eastAsia="仿宋_GB2312" w:cs="仿宋_GB2312"/>
          <w:kern w:val="0"/>
          <w:sz w:val="32"/>
          <w:szCs w:val="32"/>
        </w:rPr>
        <w:t>～</w:t>
      </w:r>
      <w:r>
        <w:rPr>
          <w:rFonts w:ascii="仿宋_GB2312" w:eastAsia="仿宋_GB2312" w:cs="仿宋_GB2312"/>
          <w:kern w:val="0"/>
          <w:sz w:val="32"/>
          <w:szCs w:val="32"/>
        </w:rPr>
        <w:t>500 mg/L</w:t>
      </w:r>
      <w:r>
        <w:rPr>
          <w:rFonts w:hint="eastAsia" w:ascii="仿宋_GB2312" w:eastAsia="仿宋_GB2312" w:cs="仿宋_GB2312"/>
          <w:kern w:val="0"/>
          <w:sz w:val="32"/>
          <w:szCs w:val="32"/>
        </w:rPr>
        <w:t>）用拖布湿式拖拭，作用</w:t>
      </w:r>
      <w:r>
        <w:rPr>
          <w:rFonts w:ascii="仿宋_GB2312" w:eastAsia="仿宋_GB2312" w:cs="仿宋_GB2312"/>
          <w:kern w:val="0"/>
          <w:sz w:val="32"/>
          <w:szCs w:val="32"/>
        </w:rPr>
        <w:t xml:space="preserve">30 </w:t>
      </w:r>
      <w:r>
        <w:rPr>
          <w:rFonts w:hint="eastAsia" w:ascii="仿宋_GB2312" w:eastAsia="仿宋_GB2312" w:cs="仿宋_GB2312"/>
          <w:kern w:val="0"/>
          <w:sz w:val="32"/>
          <w:szCs w:val="32"/>
        </w:rPr>
        <w:t>分钟，再用清水洗净。</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（四）消毒人员填写随时消毒处理记录并及时报送疾控</w:t>
      </w:r>
    </w:p>
    <w:p>
      <w:pPr>
        <w:autoSpaceDE w:val="0"/>
        <w:autoSpaceDN w:val="0"/>
        <w:adjustRightInd w:val="0"/>
        <w:spacing w:line="580" w:lineRule="exact"/>
        <w:jc w:val="left"/>
        <w:rPr>
          <w:rFonts w:ascii="仿宋_GB2312" w:eastAsia="仿宋_GB2312" w:cs="仿宋_GB2312"/>
          <w:kern w:val="0"/>
          <w:sz w:val="32"/>
          <w:szCs w:val="32"/>
        </w:rPr>
      </w:pPr>
      <w:r>
        <w:rPr>
          <w:rFonts w:hint="eastAsia" w:ascii="仿宋_GB2312" w:eastAsia="仿宋_GB2312" w:cs="仿宋_GB2312"/>
          <w:kern w:val="0"/>
          <w:sz w:val="32"/>
          <w:szCs w:val="32"/>
        </w:rPr>
        <w:t>机构。</w:t>
      </w:r>
    </w:p>
    <w:p>
      <w:pPr>
        <w:autoSpaceDE w:val="0"/>
        <w:autoSpaceDN w:val="0"/>
        <w:adjustRightInd w:val="0"/>
        <w:spacing w:line="580" w:lineRule="exact"/>
        <w:ind w:firstLine="640" w:firstLineChars="200"/>
        <w:jc w:val="left"/>
        <w:rPr>
          <w:rFonts w:ascii="宋体" w:eastAsia="宋体" w:cs="宋体"/>
          <w:kern w:val="0"/>
          <w:sz w:val="28"/>
          <w:szCs w:val="28"/>
        </w:rPr>
      </w:pPr>
      <w:r>
        <w:rPr>
          <w:rFonts w:hint="eastAsia" w:ascii="黑体" w:eastAsia="黑体" w:cs="黑体"/>
          <w:kern w:val="0"/>
          <w:sz w:val="32"/>
          <w:szCs w:val="32"/>
        </w:rPr>
        <w:t>二、常见消毒剂配制</w:t>
      </w:r>
    </w:p>
    <w:p>
      <w:pPr>
        <w:autoSpaceDE w:val="0"/>
        <w:autoSpaceDN w:val="0"/>
        <w:adjustRightInd w:val="0"/>
        <w:spacing w:line="580" w:lineRule="exact"/>
        <w:ind w:left="315" w:leftChars="150" w:firstLine="160" w:firstLineChars="50"/>
        <w:jc w:val="left"/>
        <w:rPr>
          <w:rFonts w:ascii="仿宋_GB2312" w:eastAsia="仿宋_GB2312" w:cs="仿宋_GB2312"/>
          <w:kern w:val="0"/>
          <w:sz w:val="32"/>
          <w:szCs w:val="32"/>
        </w:rPr>
      </w:pPr>
      <w:r>
        <w:rPr>
          <w:rFonts w:hint="eastAsia" w:ascii="仿宋_GB2312" w:eastAsia="仿宋_GB2312" w:cs="仿宋_GB2312"/>
          <w:kern w:val="0"/>
          <w:sz w:val="32"/>
          <w:szCs w:val="32"/>
        </w:rPr>
        <w:t>（一）有效氯浓度</w:t>
      </w:r>
      <w:r>
        <w:rPr>
          <w:rFonts w:ascii="仿宋_GB2312" w:eastAsia="仿宋_GB2312" w:cs="仿宋_GB2312"/>
          <w:kern w:val="0"/>
          <w:sz w:val="32"/>
          <w:szCs w:val="32"/>
        </w:rPr>
        <w:t xml:space="preserve">500 mg/L </w:t>
      </w:r>
      <w:r>
        <w:rPr>
          <w:rFonts w:hint="eastAsia" w:ascii="仿宋_GB2312" w:eastAsia="仿宋_GB2312" w:cs="仿宋_GB2312"/>
          <w:kern w:val="0"/>
          <w:sz w:val="32"/>
          <w:szCs w:val="32"/>
        </w:rPr>
        <w:t>的含氯消毒剂配制方法：</w:t>
      </w:r>
    </w:p>
    <w:p>
      <w:pPr>
        <w:autoSpaceDE w:val="0"/>
        <w:autoSpaceDN w:val="0"/>
        <w:adjustRightInd w:val="0"/>
        <w:spacing w:line="580" w:lineRule="exact"/>
        <w:ind w:left="315" w:leftChars="150" w:firstLine="160" w:firstLineChars="50"/>
        <w:jc w:val="left"/>
        <w:rPr>
          <w:rFonts w:ascii="仿宋_GB2312" w:eastAsia="仿宋_GB2312" w:cs="仿宋_GB2312"/>
          <w:kern w:val="0"/>
          <w:sz w:val="32"/>
          <w:szCs w:val="32"/>
        </w:rPr>
      </w:pPr>
      <w:r>
        <w:rPr>
          <w:rFonts w:ascii="仿宋_GB2312" w:eastAsia="仿宋_GB2312" w:cs="仿宋_GB2312"/>
          <w:kern w:val="0"/>
          <w:sz w:val="32"/>
          <w:szCs w:val="32"/>
        </w:rPr>
        <w:t xml:space="preserve">1.84 </w:t>
      </w:r>
      <w:r>
        <w:rPr>
          <w:rFonts w:hint="eastAsia" w:ascii="仿宋_GB2312" w:eastAsia="仿宋_GB2312" w:cs="仿宋_GB2312"/>
          <w:kern w:val="0"/>
          <w:sz w:val="32"/>
          <w:szCs w:val="32"/>
        </w:rPr>
        <w:t>消毒液（有效氯含量</w:t>
      </w:r>
      <w:r>
        <w:rPr>
          <w:rFonts w:ascii="仿宋_GB2312" w:eastAsia="仿宋_GB2312" w:cs="仿宋_GB2312"/>
          <w:kern w:val="0"/>
          <w:sz w:val="32"/>
          <w:szCs w:val="32"/>
        </w:rPr>
        <w:t>5%</w:t>
      </w:r>
      <w:r>
        <w:rPr>
          <w:rFonts w:hint="eastAsia" w:ascii="仿宋_GB2312" w:eastAsia="仿宋_GB2312" w:cs="仿宋_GB2312"/>
          <w:kern w:val="0"/>
          <w:sz w:val="32"/>
          <w:szCs w:val="32"/>
        </w:rPr>
        <w:t>）：按消毒液：水为</w:t>
      </w:r>
      <w:r>
        <w:rPr>
          <w:rFonts w:ascii="仿宋_GB2312" w:eastAsia="仿宋_GB2312" w:cs="仿宋_GB2312"/>
          <w:kern w:val="0"/>
          <w:sz w:val="32"/>
          <w:szCs w:val="32"/>
        </w:rPr>
        <w:t>1:100</w:t>
      </w:r>
      <w:r>
        <w:rPr>
          <w:rFonts w:hint="eastAsia" w:ascii="仿宋_GB2312" w:eastAsia="仿宋_GB2312" w:cs="仿宋_GB2312"/>
          <w:kern w:val="0"/>
          <w:sz w:val="32"/>
          <w:szCs w:val="32"/>
        </w:rPr>
        <w:t>比例稀释；</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消毒粉（有效氯含量</w:t>
      </w:r>
      <w:r>
        <w:rPr>
          <w:rFonts w:ascii="仿宋_GB2312" w:eastAsia="仿宋_GB2312" w:cs="仿宋_GB2312"/>
          <w:kern w:val="0"/>
          <w:sz w:val="32"/>
          <w:szCs w:val="32"/>
        </w:rPr>
        <w:t>12-13%</w:t>
      </w:r>
      <w:r>
        <w:rPr>
          <w:rFonts w:hint="eastAsia" w:ascii="仿宋_GB2312" w:eastAsia="仿宋_GB2312" w:cs="仿宋_GB2312"/>
          <w:kern w:val="0"/>
          <w:sz w:val="32"/>
          <w:szCs w:val="32"/>
        </w:rPr>
        <w:t>，</w:t>
      </w:r>
      <w:r>
        <w:rPr>
          <w:rFonts w:ascii="仿宋_GB2312" w:eastAsia="仿宋_GB2312" w:cs="仿宋_GB2312"/>
          <w:kern w:val="0"/>
          <w:sz w:val="32"/>
          <w:szCs w:val="32"/>
        </w:rPr>
        <w:t xml:space="preserve">20 </w:t>
      </w:r>
      <w:r>
        <w:rPr>
          <w:rFonts w:hint="eastAsia" w:ascii="仿宋_GB2312" w:eastAsia="仿宋_GB2312" w:cs="仿宋_GB2312"/>
          <w:kern w:val="0"/>
          <w:sz w:val="32"/>
          <w:szCs w:val="32"/>
        </w:rPr>
        <w:t>克</w:t>
      </w:r>
      <w:r>
        <w:rPr>
          <w:rFonts w:ascii="仿宋_GB2312" w:eastAsia="仿宋_GB2312" w:cs="仿宋_GB2312"/>
          <w:kern w:val="0"/>
          <w:sz w:val="32"/>
          <w:szCs w:val="32"/>
        </w:rPr>
        <w:t>/</w:t>
      </w:r>
      <w:r>
        <w:rPr>
          <w:rFonts w:hint="eastAsia" w:ascii="仿宋_GB2312" w:eastAsia="仿宋_GB2312" w:cs="仿宋_GB2312"/>
          <w:kern w:val="0"/>
          <w:sz w:val="32"/>
          <w:szCs w:val="32"/>
        </w:rPr>
        <w:t>包）：</w:t>
      </w:r>
      <w:r>
        <w:rPr>
          <w:rFonts w:ascii="仿宋_GB2312" w:eastAsia="仿宋_GB2312" w:cs="仿宋_GB2312"/>
          <w:kern w:val="0"/>
          <w:sz w:val="32"/>
          <w:szCs w:val="32"/>
        </w:rPr>
        <w:t xml:space="preserve">1 </w:t>
      </w:r>
      <w:r>
        <w:rPr>
          <w:rFonts w:hint="eastAsia" w:ascii="仿宋_GB2312" w:eastAsia="仿宋_GB2312" w:cs="仿宋_GB2312"/>
          <w:kern w:val="0"/>
          <w:sz w:val="32"/>
          <w:szCs w:val="32"/>
        </w:rPr>
        <w:t>包消毒粉加</w:t>
      </w:r>
      <w:r>
        <w:rPr>
          <w:rFonts w:ascii="仿宋_GB2312" w:eastAsia="仿宋_GB2312" w:cs="仿宋_GB2312"/>
          <w:kern w:val="0"/>
          <w:sz w:val="32"/>
          <w:szCs w:val="32"/>
        </w:rPr>
        <w:t xml:space="preserve">4.8 </w:t>
      </w:r>
      <w:r>
        <w:rPr>
          <w:rFonts w:hint="eastAsia" w:ascii="仿宋_GB2312" w:eastAsia="仿宋_GB2312" w:cs="仿宋_GB2312"/>
          <w:kern w:val="0"/>
          <w:sz w:val="32"/>
          <w:szCs w:val="32"/>
        </w:rPr>
        <w:t>升水；</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含氯泡腾片（有效氯含量</w:t>
      </w:r>
      <w:r>
        <w:rPr>
          <w:rFonts w:ascii="仿宋_GB2312" w:eastAsia="仿宋_GB2312" w:cs="仿宋_GB2312"/>
          <w:kern w:val="0"/>
          <w:sz w:val="32"/>
          <w:szCs w:val="32"/>
        </w:rPr>
        <w:t>480mg/</w:t>
      </w:r>
      <w:r>
        <w:rPr>
          <w:rFonts w:hint="eastAsia" w:ascii="仿宋_GB2312" w:eastAsia="仿宋_GB2312" w:cs="仿宋_GB2312"/>
          <w:kern w:val="0"/>
          <w:sz w:val="32"/>
          <w:szCs w:val="32"/>
        </w:rPr>
        <w:t>片</w:t>
      </w:r>
      <w:r>
        <w:rPr>
          <w:rFonts w:ascii="仿宋_GB2312" w:eastAsia="仿宋_GB2312" w:cs="仿宋_GB2312"/>
          <w:kern w:val="0"/>
          <w:sz w:val="32"/>
          <w:szCs w:val="32"/>
        </w:rPr>
        <w:t>-580mg/</w:t>
      </w:r>
      <w:r>
        <w:rPr>
          <w:rFonts w:hint="eastAsia" w:ascii="仿宋_GB2312" w:eastAsia="仿宋_GB2312" w:cs="仿宋_GB2312"/>
          <w:kern w:val="0"/>
          <w:sz w:val="32"/>
          <w:szCs w:val="32"/>
        </w:rPr>
        <w:t>片）：</w:t>
      </w:r>
      <w:r>
        <w:rPr>
          <w:rFonts w:ascii="仿宋_GB2312" w:eastAsia="仿宋_GB2312" w:cs="仿宋_GB2312"/>
          <w:kern w:val="0"/>
          <w:sz w:val="32"/>
          <w:szCs w:val="32"/>
        </w:rPr>
        <w:t xml:space="preserve">1 </w:t>
      </w:r>
      <w:r>
        <w:rPr>
          <w:rFonts w:hint="eastAsia" w:ascii="仿宋_GB2312" w:eastAsia="仿宋_GB2312" w:cs="仿宋_GB2312"/>
          <w:kern w:val="0"/>
          <w:sz w:val="32"/>
          <w:szCs w:val="32"/>
        </w:rPr>
        <w:t>片溶于</w:t>
      </w:r>
      <w:r>
        <w:rPr>
          <w:rFonts w:ascii="仿宋_GB2312" w:eastAsia="仿宋_GB2312" w:cs="仿宋_GB2312"/>
          <w:kern w:val="0"/>
          <w:sz w:val="32"/>
          <w:szCs w:val="32"/>
        </w:rPr>
        <w:t xml:space="preserve">1 </w:t>
      </w:r>
      <w:r>
        <w:rPr>
          <w:rFonts w:hint="eastAsia" w:ascii="仿宋_GB2312" w:eastAsia="仿宋_GB2312" w:cs="仿宋_GB2312"/>
          <w:kern w:val="0"/>
          <w:sz w:val="32"/>
          <w:szCs w:val="32"/>
        </w:rPr>
        <w:t>升水。</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ascii="仿宋_GB2312" w:eastAsia="仿宋_GB2312" w:cs="仿宋_GB2312"/>
          <w:kern w:val="0"/>
          <w:sz w:val="32"/>
          <w:szCs w:val="32"/>
        </w:rPr>
        <w:t>75%</w:t>
      </w:r>
      <w:r>
        <w:rPr>
          <w:rFonts w:hint="eastAsia" w:ascii="仿宋_GB2312" w:eastAsia="仿宋_GB2312" w:cs="仿宋_GB2312"/>
          <w:kern w:val="0"/>
          <w:sz w:val="32"/>
          <w:szCs w:val="32"/>
        </w:rPr>
        <w:t>乙醇消毒液：直接使用。</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（三）其他消毒剂按产品标签标识以杀灭肠道致病菌的浓度进行配制和使用。</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（四）含氯消毒剂有皮肤黏膜刺激性，配置和使用时建议佩戴口罩和手套，儿童请勿触碰。乙醇消毒液使用应远离火源。</w:t>
      </w: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sectPr>
      <w:footerReference r:id="rId4" w:type="default"/>
      <w:footerReference r:id="rId5" w:type="even"/>
      <w:pgSz w:w="11906" w:h="16838"/>
      <w:pgMar w:top="2268" w:right="1474" w:bottom="170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Style w:val="16"/>
                              <w:rFonts w:ascii="宋体" w:hAnsi="宋体" w:cs="宋体"/>
                              <w:sz w:val="28"/>
                              <w:szCs w:val="28"/>
                            </w:rPr>
                          </w:pPr>
                          <w:r>
                            <w:rPr>
                              <w:rStyle w:val="16"/>
                              <w:rFonts w:hint="eastAsia" w:ascii="宋体" w:hAnsi="宋体" w:cs="宋体"/>
                              <w:sz w:val="28"/>
                              <w:szCs w:val="28"/>
                            </w:rPr>
                            <w:t xml:space="preserve">— </w:t>
                          </w:r>
                          <w:r>
                            <w:rPr>
                              <w:rFonts w:hint="eastAsia" w:ascii="宋体" w:hAnsi="宋体" w:cs="宋体"/>
                              <w:sz w:val="28"/>
                              <w:szCs w:val="28"/>
                            </w:rPr>
                            <w:fldChar w:fldCharType="begin"/>
                          </w:r>
                          <w:r>
                            <w:rPr>
                              <w:rStyle w:val="1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6"/>
                              <w:rFonts w:ascii="宋体" w:hAnsi="宋体" w:cs="宋体"/>
                              <w:sz w:val="28"/>
                              <w:szCs w:val="28"/>
                            </w:rPr>
                            <w:t>2</w:t>
                          </w:r>
                          <w:r>
                            <w:rPr>
                              <w:rFonts w:hint="eastAsia" w:ascii="宋体" w:hAnsi="宋体" w:cs="宋体"/>
                              <w:sz w:val="28"/>
                              <w:szCs w:val="28"/>
                            </w:rPr>
                            <w:fldChar w:fldCharType="end"/>
                          </w:r>
                          <w:r>
                            <w:rPr>
                              <w:rStyle w:val="16"/>
                              <w:rFonts w:hint="eastAsia" w:ascii="宋体" w:hAnsi="宋体" w:cs="宋体"/>
                              <w:sz w:val="28"/>
                              <w:szCs w:val="28"/>
                            </w:rPr>
                            <w:t xml:space="preserve"> —</w:t>
                          </w:r>
                        </w:p>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b0e1+sQEA&#10;AE4DAAAOAAAAAAAAAAEAIAAAAB4BAABkcnMvZTJvRG9jLnhtbFBLBQYAAAAABgAGAFkBAABBBQAA&#10;AAA=&#10;">
              <v:fill on="f" focussize="0,0"/>
              <v:stroke on="f"/>
              <v:imagedata o:title=""/>
              <o:lock v:ext="edit" aspectratio="f"/>
              <v:textbox inset="0mm,0mm,0mm,0mm" style="mso-fit-shape-to-text:t;">
                <w:txbxContent>
                  <w:p>
                    <w:pPr>
                      <w:pStyle w:val="9"/>
                      <w:rPr>
                        <w:rStyle w:val="16"/>
                        <w:rFonts w:ascii="宋体" w:hAnsi="宋体" w:cs="宋体"/>
                        <w:sz w:val="28"/>
                        <w:szCs w:val="28"/>
                      </w:rPr>
                    </w:pPr>
                    <w:r>
                      <w:rPr>
                        <w:rStyle w:val="16"/>
                        <w:rFonts w:hint="eastAsia" w:ascii="宋体" w:hAnsi="宋体" w:cs="宋体"/>
                        <w:sz w:val="28"/>
                        <w:szCs w:val="28"/>
                      </w:rPr>
                      <w:t xml:space="preserve">— </w:t>
                    </w:r>
                    <w:r>
                      <w:rPr>
                        <w:rFonts w:hint="eastAsia" w:ascii="宋体" w:hAnsi="宋体" w:cs="宋体"/>
                        <w:sz w:val="28"/>
                        <w:szCs w:val="28"/>
                      </w:rPr>
                      <w:fldChar w:fldCharType="begin"/>
                    </w:r>
                    <w:r>
                      <w:rPr>
                        <w:rStyle w:val="1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6"/>
                        <w:rFonts w:ascii="宋体" w:hAnsi="宋体" w:cs="宋体"/>
                        <w:sz w:val="28"/>
                        <w:szCs w:val="28"/>
                      </w:rPr>
                      <w:t>2</w:t>
                    </w:r>
                    <w:r>
                      <w:rPr>
                        <w:rFonts w:hint="eastAsia" w:ascii="宋体" w:hAnsi="宋体" w:cs="宋体"/>
                        <w:sz w:val="28"/>
                        <w:szCs w:val="28"/>
                      </w:rPr>
                      <w:fldChar w:fldCharType="end"/>
                    </w:r>
                    <w:r>
                      <w:rPr>
                        <w:rStyle w:val="16"/>
                        <w:rFonts w:hint="eastAsia" w:ascii="宋体" w:hAnsi="宋体" w:cs="宋体"/>
                        <w:sz w:val="28"/>
                        <w:szCs w:val="28"/>
                      </w:rPr>
                      <w:t xml:space="preserve"> —</w:t>
                    </w:r>
                  </w:p>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pPr>
                        </w:p>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goEsJsQEA&#10;AE4DAAAOAAAAAAAAAAEAIAAAAB4BAABkcnMvZTJvRG9jLnhtbFBLBQYAAAAABgAGAFkBAABBBQAA&#10;AAA=&#10;">
              <v:fill on="f" focussize="0,0"/>
              <v:stroke on="f"/>
              <v:imagedata o:title=""/>
              <o:lock v:ext="edit" aspectratio="f"/>
              <v:textbox inset="0mm,0mm,0mm,0mm" style="mso-fit-shape-to-text:t;">
                <w:txbxContent>
                  <w:p>
                    <w:pPr>
                      <w:pStyle w:val="9"/>
                      <w:jc w:val="center"/>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Style w:val="16"/>
                              <w:rFonts w:hint="eastAsia" w:ascii="宋体" w:hAnsi="宋体" w:cs="宋体"/>
                              <w:sz w:val="28"/>
                              <w:szCs w:val="28"/>
                            </w:rPr>
                            <w:t xml:space="preserve">— </w:t>
                          </w:r>
                          <w:r>
                            <w:rPr>
                              <w:rFonts w:hint="eastAsia" w:ascii="宋体" w:hAnsi="宋体" w:cs="宋体"/>
                              <w:sz w:val="28"/>
                              <w:szCs w:val="28"/>
                            </w:rPr>
                            <w:fldChar w:fldCharType="begin"/>
                          </w:r>
                          <w:r>
                            <w:rPr>
                              <w:rStyle w:val="1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6"/>
                              <w:rFonts w:ascii="宋体" w:hAnsi="宋体" w:cs="宋体"/>
                              <w:sz w:val="28"/>
                              <w:szCs w:val="28"/>
                            </w:rPr>
                            <w:t>15</w:t>
                          </w:r>
                          <w:r>
                            <w:rPr>
                              <w:rFonts w:hint="eastAsia" w:ascii="宋体" w:hAnsi="宋体" w:cs="宋体"/>
                              <w:sz w:val="28"/>
                              <w:szCs w:val="28"/>
                            </w:rPr>
                            <w:fldChar w:fldCharType="end"/>
                          </w:r>
                          <w:r>
                            <w:rPr>
                              <w:rStyle w:val="16"/>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hOD5bIB&#10;AABOAwAADgAAAAAAAAABACAAAAAeAQAAZHJzL2Uyb0RvYy54bWxQSwUGAAAAAAYABgBZAQAAQgUA&#10;AAAA&#10;">
              <v:fill on="f" focussize="0,0"/>
              <v:stroke on="f"/>
              <v:imagedata o:title=""/>
              <o:lock v:ext="edit" aspectratio="f"/>
              <v:textbox inset="0mm,0mm,0mm,0mm" style="mso-fit-shape-to-text:t;">
                <w:txbxContent>
                  <w:p>
                    <w:pPr>
                      <w:pStyle w:val="9"/>
                    </w:pPr>
                    <w:r>
                      <w:rPr>
                        <w:rStyle w:val="16"/>
                        <w:rFonts w:hint="eastAsia" w:ascii="宋体" w:hAnsi="宋体" w:cs="宋体"/>
                        <w:sz w:val="28"/>
                        <w:szCs w:val="28"/>
                      </w:rPr>
                      <w:t xml:space="preserve">— </w:t>
                    </w:r>
                    <w:r>
                      <w:rPr>
                        <w:rFonts w:hint="eastAsia" w:ascii="宋体" w:hAnsi="宋体" w:cs="宋体"/>
                        <w:sz w:val="28"/>
                        <w:szCs w:val="28"/>
                      </w:rPr>
                      <w:fldChar w:fldCharType="begin"/>
                    </w:r>
                    <w:r>
                      <w:rPr>
                        <w:rStyle w:val="1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6"/>
                        <w:rFonts w:ascii="宋体" w:hAnsi="宋体" w:cs="宋体"/>
                        <w:sz w:val="28"/>
                        <w:szCs w:val="28"/>
                      </w:rPr>
                      <w:t>15</w:t>
                    </w:r>
                    <w:r>
                      <w:rPr>
                        <w:rFonts w:hint="eastAsia" w:ascii="宋体" w:hAnsi="宋体" w:cs="宋体"/>
                        <w:sz w:val="28"/>
                        <w:szCs w:val="28"/>
                      </w:rPr>
                      <w:fldChar w:fldCharType="end"/>
                    </w:r>
                    <w:r>
                      <w:rPr>
                        <w:rStyle w:val="16"/>
                        <w:rFonts w:hint="eastAsia" w:ascii="宋体" w:hAnsi="宋体" w:cs="宋体"/>
                        <w:sz w:val="28"/>
                        <w:szCs w:val="28"/>
                      </w:rPr>
                      <w:t xml:space="preserve"> —</w:t>
                    </w:r>
                  </w:p>
                </w:txbxContent>
              </v:textbox>
            </v:shape>
          </w:pict>
        </mc:Fallback>
      </mc:AlternateContent>
    </w:r>
  </w:p>
  <w:p>
    <w:pPr>
      <w:pStyle w:val="9"/>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-56515</wp:posOffset>
              </wp:positionV>
              <wp:extent cx="622935" cy="229235"/>
              <wp:effectExtent l="0" t="0" r="0" b="0"/>
              <wp:wrapNone/>
              <wp:docPr id="1"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622935" cy="229235"/>
                      </a:xfrm>
                      <a:prstGeom prst="rect">
                        <a:avLst/>
                      </a:prstGeom>
                      <a:noFill/>
                      <a:ln>
                        <a:noFill/>
                      </a:ln>
                      <a:effectLst/>
                    </wps:spPr>
                    <wps:txbx>
                      <w:txbxContent>
                        <w:p>
                          <w:pPr>
                            <w:snapToGrid w:val="0"/>
                            <w:rPr>
                              <w:rFonts w:ascii="宋体" w:hAnsi="宋体" w:cs="宋体"/>
                              <w:sz w:val="28"/>
                              <w:szCs w:val="28"/>
                            </w:rPr>
                          </w:pPr>
                        </w:p>
                      </w:txbxContent>
                    </wps:txbx>
                    <wps:bodyPr rot="0" vert="horz" wrap="none" lIns="0" tIns="0" rIns="0" bIns="0" anchor="t" anchorCtr="0" upright="1">
                      <a:noAutofit/>
                    </wps:bodyPr>
                  </wps:wsp>
                </a:graphicData>
              </a:graphic>
            </wp:anchor>
          </w:drawing>
        </mc:Choice>
        <mc:Fallback>
          <w:pict>
            <v:shape id="文本框 1027" o:spid="_x0000_s1026" o:spt="202" type="#_x0000_t202" style="position:absolute;left:0pt;margin-top:-4.45pt;height:18.05pt;width:49.05pt;mso-position-horizontal:outside;mso-position-horizontal-relative:margin;mso-wrap-style:none;z-index:251660288;mso-width-relative:page;mso-height-relative:page;" filled="f" stroked="f" coordsize="21600,21600" o:gfxdata="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4Tl0wAAAAUBAAAPAAAAAAAAAAEAIAAAACIAAABkcnMvZG93bnJldi54bWxQSwECFAAUAAAA&#10;CACHTuJASat0tPMBAADFAwAADgAAAAAAAAABACAAAAAiAQAAZHJzL2Uyb0RvYy54bWxQSwUGAAAA&#10;AAYABgBZAQAAhwUAAAAA&#10;">
              <v:fill on="f" focussize="0,0"/>
              <v:stroke on="f"/>
              <v:imagedata o:title=""/>
              <o:lock v:ext="edit" aspectratio="f"/>
              <v:textbox inset="0mm,0mm,0mm,0mm">
                <w:txbxContent>
                  <w:p>
                    <w:pPr>
                      <w:snapToGrid w:val="0"/>
                      <w:rPr>
                        <w:rFonts w:ascii="宋体" w:hAnsi="宋体" w:cs="宋体"/>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posOffset>-9525</wp:posOffset>
              </wp:positionH>
              <wp:positionV relativeFrom="paragraph">
                <wp:posOffset>-85725</wp:posOffset>
              </wp:positionV>
              <wp:extent cx="1828800" cy="235585"/>
              <wp:effectExtent l="0" t="0" r="0" b="0"/>
              <wp:wrapNone/>
              <wp:docPr id="2" name="文本框 1028"/>
              <wp:cNvGraphicFramePr/>
              <a:graphic xmlns:a="http://schemas.openxmlformats.org/drawingml/2006/main">
                <a:graphicData uri="http://schemas.microsoft.com/office/word/2010/wordprocessingShape">
                  <wps:wsp>
                    <wps:cNvSpPr txBox="1">
                      <a:spLocks noChangeArrowheads="1"/>
                    </wps:cNvSpPr>
                    <wps:spPr bwMode="auto">
                      <a:xfrm>
                        <a:off x="0" y="0"/>
                        <a:ext cx="1828800" cy="235585"/>
                      </a:xfrm>
                      <a:prstGeom prst="rect">
                        <a:avLst/>
                      </a:prstGeom>
                      <a:noFill/>
                      <a:ln>
                        <a:noFill/>
                      </a:ln>
                      <a:effectLst/>
                    </wps:spPr>
                    <wps:txbx>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vert="horz" wrap="none" lIns="0" tIns="0" rIns="0" bIns="0" anchor="t" anchorCtr="0" upright="1">
                      <a:noAutofit/>
                    </wps:bodyPr>
                  </wps:wsp>
                </a:graphicData>
              </a:graphic>
            </wp:anchor>
          </w:drawing>
        </mc:Choice>
        <mc:Fallback>
          <w:pict>
            <v:shape id="文本框 1028" o:spid="_x0000_s1026" o:spt="202" type="#_x0000_t202" style="position:absolute;left:0pt;margin-left:-0.75pt;margin-top:-6.75pt;height:18.55pt;width:144pt;mso-position-horizontal-relative:margin;mso-wrap-style:none;z-index:251661312;mso-width-relative:page;mso-height-relative:page;" filled="f" stroked="f" coordsize="21600,21600" o:gfxdata="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YTJs1QAAAAkBAAAPAAAAAAAAAAEAIAAAACIAAABkcnMvZG93bnJldi54bWxQSwEC&#10;FAAUAAAACACHTuJAkPAuL/cBAADGAwAADgAAAAAAAAABACAAAAAkAQAAZHJzL2Uyb0RvYy54bWxQ&#10;SwUGAAAAAAYABgBZAQAAjQUAAAAA&#10;">
              <v:fill on="f" focussize="0,0"/>
              <v:stroke on="f"/>
              <v:imagedata o:title=""/>
              <o:lock v:ext="edit" aspectratio="f"/>
              <v:textbox inset="0mm,0mm,0mm,0mm">
                <w:txbxContent>
                  <w:p>
                    <w:pPr>
                      <w:snapToGrid w:val="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77"/>
    <w:rsid w:val="00016FBC"/>
    <w:rsid w:val="00022300"/>
    <w:rsid w:val="00023CB6"/>
    <w:rsid w:val="00037D70"/>
    <w:rsid w:val="00042857"/>
    <w:rsid w:val="000445A9"/>
    <w:rsid w:val="00046B89"/>
    <w:rsid w:val="00054CC5"/>
    <w:rsid w:val="000554F9"/>
    <w:rsid w:val="00064E0C"/>
    <w:rsid w:val="00066259"/>
    <w:rsid w:val="00067AEB"/>
    <w:rsid w:val="00074E5C"/>
    <w:rsid w:val="00076178"/>
    <w:rsid w:val="00081504"/>
    <w:rsid w:val="00086850"/>
    <w:rsid w:val="000934EB"/>
    <w:rsid w:val="00095334"/>
    <w:rsid w:val="000977C3"/>
    <w:rsid w:val="00097B64"/>
    <w:rsid w:val="000A086F"/>
    <w:rsid w:val="000A0DF4"/>
    <w:rsid w:val="000A3F67"/>
    <w:rsid w:val="000A77E6"/>
    <w:rsid w:val="000C3341"/>
    <w:rsid w:val="000C468D"/>
    <w:rsid w:val="000D2C30"/>
    <w:rsid w:val="000E02E8"/>
    <w:rsid w:val="000E35EB"/>
    <w:rsid w:val="000E7D74"/>
    <w:rsid w:val="000F6385"/>
    <w:rsid w:val="000F66E7"/>
    <w:rsid w:val="000F729E"/>
    <w:rsid w:val="0010298B"/>
    <w:rsid w:val="001047F7"/>
    <w:rsid w:val="0010605E"/>
    <w:rsid w:val="00106F8C"/>
    <w:rsid w:val="001155F2"/>
    <w:rsid w:val="00122263"/>
    <w:rsid w:val="00124D2F"/>
    <w:rsid w:val="00125290"/>
    <w:rsid w:val="00125390"/>
    <w:rsid w:val="00127079"/>
    <w:rsid w:val="001323A6"/>
    <w:rsid w:val="0013281C"/>
    <w:rsid w:val="00135C82"/>
    <w:rsid w:val="00137245"/>
    <w:rsid w:val="0013794C"/>
    <w:rsid w:val="0014169A"/>
    <w:rsid w:val="00141E4B"/>
    <w:rsid w:val="00146326"/>
    <w:rsid w:val="001474C4"/>
    <w:rsid w:val="00151CDE"/>
    <w:rsid w:val="00152372"/>
    <w:rsid w:val="00165DA7"/>
    <w:rsid w:val="00167C17"/>
    <w:rsid w:val="00170947"/>
    <w:rsid w:val="0017754A"/>
    <w:rsid w:val="00177ADC"/>
    <w:rsid w:val="00185949"/>
    <w:rsid w:val="00191D26"/>
    <w:rsid w:val="00194A46"/>
    <w:rsid w:val="001A650E"/>
    <w:rsid w:val="001B44F5"/>
    <w:rsid w:val="001B66B5"/>
    <w:rsid w:val="001C46CB"/>
    <w:rsid w:val="001C74C3"/>
    <w:rsid w:val="001D203C"/>
    <w:rsid w:val="001D478D"/>
    <w:rsid w:val="001D47D3"/>
    <w:rsid w:val="001D483F"/>
    <w:rsid w:val="001E19D1"/>
    <w:rsid w:val="001F0E61"/>
    <w:rsid w:val="001F352E"/>
    <w:rsid w:val="001F494D"/>
    <w:rsid w:val="001F55C6"/>
    <w:rsid w:val="001F6FF1"/>
    <w:rsid w:val="0022160D"/>
    <w:rsid w:val="002220A7"/>
    <w:rsid w:val="002349C0"/>
    <w:rsid w:val="00236A34"/>
    <w:rsid w:val="00237130"/>
    <w:rsid w:val="0024494F"/>
    <w:rsid w:val="00261DBC"/>
    <w:rsid w:val="00266D3A"/>
    <w:rsid w:val="00272F07"/>
    <w:rsid w:val="00281A6D"/>
    <w:rsid w:val="00281B06"/>
    <w:rsid w:val="00287131"/>
    <w:rsid w:val="002875A7"/>
    <w:rsid w:val="002912C8"/>
    <w:rsid w:val="00292D60"/>
    <w:rsid w:val="002953A4"/>
    <w:rsid w:val="0029633F"/>
    <w:rsid w:val="002C2277"/>
    <w:rsid w:val="002C2F2A"/>
    <w:rsid w:val="002C3989"/>
    <w:rsid w:val="002C69C5"/>
    <w:rsid w:val="002D10AF"/>
    <w:rsid w:val="002D1866"/>
    <w:rsid w:val="002D461B"/>
    <w:rsid w:val="002E4816"/>
    <w:rsid w:val="002E533A"/>
    <w:rsid w:val="002F70B8"/>
    <w:rsid w:val="00301356"/>
    <w:rsid w:val="00307B50"/>
    <w:rsid w:val="00322ACA"/>
    <w:rsid w:val="0032306E"/>
    <w:rsid w:val="00324638"/>
    <w:rsid w:val="00327777"/>
    <w:rsid w:val="00330130"/>
    <w:rsid w:val="0034727E"/>
    <w:rsid w:val="003527F8"/>
    <w:rsid w:val="00352925"/>
    <w:rsid w:val="00361F06"/>
    <w:rsid w:val="0036424E"/>
    <w:rsid w:val="003650E8"/>
    <w:rsid w:val="00365465"/>
    <w:rsid w:val="00373B01"/>
    <w:rsid w:val="003821CB"/>
    <w:rsid w:val="003831EA"/>
    <w:rsid w:val="003835B4"/>
    <w:rsid w:val="00383FB0"/>
    <w:rsid w:val="00397BE8"/>
    <w:rsid w:val="003B1360"/>
    <w:rsid w:val="003B38A6"/>
    <w:rsid w:val="003C2877"/>
    <w:rsid w:val="003D0282"/>
    <w:rsid w:val="003D0C88"/>
    <w:rsid w:val="003D5682"/>
    <w:rsid w:val="003D6541"/>
    <w:rsid w:val="003D77C0"/>
    <w:rsid w:val="003E0941"/>
    <w:rsid w:val="003E4D0A"/>
    <w:rsid w:val="003E5F2A"/>
    <w:rsid w:val="003E683C"/>
    <w:rsid w:val="003E7C82"/>
    <w:rsid w:val="003F2E1C"/>
    <w:rsid w:val="003F3ED4"/>
    <w:rsid w:val="00404D0D"/>
    <w:rsid w:val="00415819"/>
    <w:rsid w:val="0042005F"/>
    <w:rsid w:val="004203FE"/>
    <w:rsid w:val="00424D7E"/>
    <w:rsid w:val="00426B86"/>
    <w:rsid w:val="00431347"/>
    <w:rsid w:val="00436F1F"/>
    <w:rsid w:val="004422D7"/>
    <w:rsid w:val="004429E1"/>
    <w:rsid w:val="00446BBB"/>
    <w:rsid w:val="00467364"/>
    <w:rsid w:val="004704DE"/>
    <w:rsid w:val="00472913"/>
    <w:rsid w:val="0047668F"/>
    <w:rsid w:val="00476893"/>
    <w:rsid w:val="004902A8"/>
    <w:rsid w:val="00494A9E"/>
    <w:rsid w:val="004A625C"/>
    <w:rsid w:val="004B28C4"/>
    <w:rsid w:val="004B3377"/>
    <w:rsid w:val="004B4C2E"/>
    <w:rsid w:val="004C14B1"/>
    <w:rsid w:val="004C3A1C"/>
    <w:rsid w:val="004C6971"/>
    <w:rsid w:val="004C6A40"/>
    <w:rsid w:val="004D0629"/>
    <w:rsid w:val="004D24E1"/>
    <w:rsid w:val="004D3880"/>
    <w:rsid w:val="004E6B9C"/>
    <w:rsid w:val="004F4B5C"/>
    <w:rsid w:val="004F7906"/>
    <w:rsid w:val="005006E0"/>
    <w:rsid w:val="005058B0"/>
    <w:rsid w:val="00521BBA"/>
    <w:rsid w:val="005278BE"/>
    <w:rsid w:val="0053075A"/>
    <w:rsid w:val="00531326"/>
    <w:rsid w:val="00536820"/>
    <w:rsid w:val="005369DF"/>
    <w:rsid w:val="00551813"/>
    <w:rsid w:val="00552EE6"/>
    <w:rsid w:val="005575FB"/>
    <w:rsid w:val="0056146F"/>
    <w:rsid w:val="00571BD8"/>
    <w:rsid w:val="00581683"/>
    <w:rsid w:val="00581EF0"/>
    <w:rsid w:val="00585ECF"/>
    <w:rsid w:val="00586473"/>
    <w:rsid w:val="00586502"/>
    <w:rsid w:val="005907D2"/>
    <w:rsid w:val="0059121B"/>
    <w:rsid w:val="005935DD"/>
    <w:rsid w:val="005A04F9"/>
    <w:rsid w:val="005A1B29"/>
    <w:rsid w:val="005A627A"/>
    <w:rsid w:val="005B1B7A"/>
    <w:rsid w:val="005B6619"/>
    <w:rsid w:val="005C387B"/>
    <w:rsid w:val="005C5448"/>
    <w:rsid w:val="005C7AEB"/>
    <w:rsid w:val="005D3E58"/>
    <w:rsid w:val="005F760B"/>
    <w:rsid w:val="005F7AB9"/>
    <w:rsid w:val="00614DC2"/>
    <w:rsid w:val="00625929"/>
    <w:rsid w:val="00635DC3"/>
    <w:rsid w:val="00642507"/>
    <w:rsid w:val="0064264E"/>
    <w:rsid w:val="0064582C"/>
    <w:rsid w:val="00647477"/>
    <w:rsid w:val="0065129A"/>
    <w:rsid w:val="00653F34"/>
    <w:rsid w:val="00661D7D"/>
    <w:rsid w:val="00663DD1"/>
    <w:rsid w:val="00665322"/>
    <w:rsid w:val="0066571D"/>
    <w:rsid w:val="006676BC"/>
    <w:rsid w:val="00676C06"/>
    <w:rsid w:val="00677FDD"/>
    <w:rsid w:val="00694418"/>
    <w:rsid w:val="00696D2B"/>
    <w:rsid w:val="006A09D4"/>
    <w:rsid w:val="006A1050"/>
    <w:rsid w:val="006A6BFD"/>
    <w:rsid w:val="006B044C"/>
    <w:rsid w:val="006B418B"/>
    <w:rsid w:val="006B6BCB"/>
    <w:rsid w:val="006C3C77"/>
    <w:rsid w:val="006C6C1A"/>
    <w:rsid w:val="006D602D"/>
    <w:rsid w:val="006D7ACF"/>
    <w:rsid w:val="006E2A4E"/>
    <w:rsid w:val="006E63E3"/>
    <w:rsid w:val="006F3998"/>
    <w:rsid w:val="006F3BD0"/>
    <w:rsid w:val="006F4C29"/>
    <w:rsid w:val="00711FA2"/>
    <w:rsid w:val="00723AFB"/>
    <w:rsid w:val="00726D75"/>
    <w:rsid w:val="00735138"/>
    <w:rsid w:val="007374FB"/>
    <w:rsid w:val="00740946"/>
    <w:rsid w:val="007421F5"/>
    <w:rsid w:val="00751E22"/>
    <w:rsid w:val="00754E7C"/>
    <w:rsid w:val="00764505"/>
    <w:rsid w:val="00765892"/>
    <w:rsid w:val="00775A1D"/>
    <w:rsid w:val="007779A3"/>
    <w:rsid w:val="00784B22"/>
    <w:rsid w:val="007967A8"/>
    <w:rsid w:val="007A6133"/>
    <w:rsid w:val="007A6754"/>
    <w:rsid w:val="007B37DE"/>
    <w:rsid w:val="007C2ADC"/>
    <w:rsid w:val="007C34A7"/>
    <w:rsid w:val="007C5EA0"/>
    <w:rsid w:val="007D0253"/>
    <w:rsid w:val="007E38C4"/>
    <w:rsid w:val="007E42FB"/>
    <w:rsid w:val="007F2511"/>
    <w:rsid w:val="007F51EA"/>
    <w:rsid w:val="00805942"/>
    <w:rsid w:val="00805DED"/>
    <w:rsid w:val="00810B46"/>
    <w:rsid w:val="0081173B"/>
    <w:rsid w:val="008130FB"/>
    <w:rsid w:val="0082222D"/>
    <w:rsid w:val="00823B49"/>
    <w:rsid w:val="00826636"/>
    <w:rsid w:val="008277DE"/>
    <w:rsid w:val="008306E5"/>
    <w:rsid w:val="0083227E"/>
    <w:rsid w:val="0085204A"/>
    <w:rsid w:val="00862D76"/>
    <w:rsid w:val="0086387B"/>
    <w:rsid w:val="00865D40"/>
    <w:rsid w:val="00875E35"/>
    <w:rsid w:val="00877047"/>
    <w:rsid w:val="008801A0"/>
    <w:rsid w:val="00884BDB"/>
    <w:rsid w:val="00886810"/>
    <w:rsid w:val="00893ED3"/>
    <w:rsid w:val="008A58F5"/>
    <w:rsid w:val="008B020F"/>
    <w:rsid w:val="008B03FB"/>
    <w:rsid w:val="008B2094"/>
    <w:rsid w:val="008B4AEB"/>
    <w:rsid w:val="008B5317"/>
    <w:rsid w:val="008C5F77"/>
    <w:rsid w:val="008D4969"/>
    <w:rsid w:val="008D7269"/>
    <w:rsid w:val="008E2A65"/>
    <w:rsid w:val="008E2A74"/>
    <w:rsid w:val="008E2C70"/>
    <w:rsid w:val="008E78CE"/>
    <w:rsid w:val="008F56EB"/>
    <w:rsid w:val="00906000"/>
    <w:rsid w:val="00912B92"/>
    <w:rsid w:val="00925C75"/>
    <w:rsid w:val="00932855"/>
    <w:rsid w:val="00932E04"/>
    <w:rsid w:val="00933486"/>
    <w:rsid w:val="0094569C"/>
    <w:rsid w:val="00946610"/>
    <w:rsid w:val="00947ECC"/>
    <w:rsid w:val="00953510"/>
    <w:rsid w:val="009568FE"/>
    <w:rsid w:val="00960844"/>
    <w:rsid w:val="00962556"/>
    <w:rsid w:val="009832F8"/>
    <w:rsid w:val="00983F6C"/>
    <w:rsid w:val="00987653"/>
    <w:rsid w:val="00987E38"/>
    <w:rsid w:val="009950F8"/>
    <w:rsid w:val="009A1806"/>
    <w:rsid w:val="009A1814"/>
    <w:rsid w:val="009B0B61"/>
    <w:rsid w:val="009B3CB3"/>
    <w:rsid w:val="009B5273"/>
    <w:rsid w:val="009B72AF"/>
    <w:rsid w:val="009C065B"/>
    <w:rsid w:val="009C3F28"/>
    <w:rsid w:val="009C4825"/>
    <w:rsid w:val="009D16FF"/>
    <w:rsid w:val="009D3FF4"/>
    <w:rsid w:val="009D56B2"/>
    <w:rsid w:val="009D5E09"/>
    <w:rsid w:val="009E2626"/>
    <w:rsid w:val="009E736B"/>
    <w:rsid w:val="009F1BCC"/>
    <w:rsid w:val="009F38C6"/>
    <w:rsid w:val="009F4AA9"/>
    <w:rsid w:val="009F69A5"/>
    <w:rsid w:val="009F6C8D"/>
    <w:rsid w:val="00A026BD"/>
    <w:rsid w:val="00A04F31"/>
    <w:rsid w:val="00A079E8"/>
    <w:rsid w:val="00A173FB"/>
    <w:rsid w:val="00A3053D"/>
    <w:rsid w:val="00A33893"/>
    <w:rsid w:val="00A364E2"/>
    <w:rsid w:val="00A50CEE"/>
    <w:rsid w:val="00A51A9B"/>
    <w:rsid w:val="00A51C58"/>
    <w:rsid w:val="00A53334"/>
    <w:rsid w:val="00A53641"/>
    <w:rsid w:val="00A575C5"/>
    <w:rsid w:val="00A610BD"/>
    <w:rsid w:val="00A61E59"/>
    <w:rsid w:val="00A63586"/>
    <w:rsid w:val="00A678C1"/>
    <w:rsid w:val="00A70FEC"/>
    <w:rsid w:val="00A73CF2"/>
    <w:rsid w:val="00A818E3"/>
    <w:rsid w:val="00A81C08"/>
    <w:rsid w:val="00A82C5A"/>
    <w:rsid w:val="00A839DE"/>
    <w:rsid w:val="00A845F1"/>
    <w:rsid w:val="00A84E8C"/>
    <w:rsid w:val="00A90841"/>
    <w:rsid w:val="00A908F1"/>
    <w:rsid w:val="00AA7124"/>
    <w:rsid w:val="00AB024E"/>
    <w:rsid w:val="00AB0C8E"/>
    <w:rsid w:val="00AB1470"/>
    <w:rsid w:val="00AB4CC0"/>
    <w:rsid w:val="00AB4E92"/>
    <w:rsid w:val="00AC4108"/>
    <w:rsid w:val="00AC4D2D"/>
    <w:rsid w:val="00AC6711"/>
    <w:rsid w:val="00AC7777"/>
    <w:rsid w:val="00AD1FC5"/>
    <w:rsid w:val="00AD2BC7"/>
    <w:rsid w:val="00AD329B"/>
    <w:rsid w:val="00AE42A2"/>
    <w:rsid w:val="00AF5A65"/>
    <w:rsid w:val="00B01B33"/>
    <w:rsid w:val="00B02E9C"/>
    <w:rsid w:val="00B07C25"/>
    <w:rsid w:val="00B11E95"/>
    <w:rsid w:val="00B158F6"/>
    <w:rsid w:val="00B15A02"/>
    <w:rsid w:val="00B20A29"/>
    <w:rsid w:val="00B27270"/>
    <w:rsid w:val="00B27778"/>
    <w:rsid w:val="00B30BA5"/>
    <w:rsid w:val="00B354D3"/>
    <w:rsid w:val="00B36464"/>
    <w:rsid w:val="00B51E3A"/>
    <w:rsid w:val="00B6077C"/>
    <w:rsid w:val="00B76AD8"/>
    <w:rsid w:val="00B81186"/>
    <w:rsid w:val="00B828F0"/>
    <w:rsid w:val="00B82B24"/>
    <w:rsid w:val="00B82FE1"/>
    <w:rsid w:val="00B84D9E"/>
    <w:rsid w:val="00B9227C"/>
    <w:rsid w:val="00B9324D"/>
    <w:rsid w:val="00B973EB"/>
    <w:rsid w:val="00BA6769"/>
    <w:rsid w:val="00BB3572"/>
    <w:rsid w:val="00BB7A09"/>
    <w:rsid w:val="00BC7C1B"/>
    <w:rsid w:val="00BD225C"/>
    <w:rsid w:val="00BD503F"/>
    <w:rsid w:val="00BE02B2"/>
    <w:rsid w:val="00BE4580"/>
    <w:rsid w:val="00BF3992"/>
    <w:rsid w:val="00C14C78"/>
    <w:rsid w:val="00C22905"/>
    <w:rsid w:val="00C2575D"/>
    <w:rsid w:val="00C3099C"/>
    <w:rsid w:val="00C329D9"/>
    <w:rsid w:val="00C35035"/>
    <w:rsid w:val="00C37806"/>
    <w:rsid w:val="00C417E7"/>
    <w:rsid w:val="00C479DE"/>
    <w:rsid w:val="00C501F0"/>
    <w:rsid w:val="00C60439"/>
    <w:rsid w:val="00C6443A"/>
    <w:rsid w:val="00C67C9F"/>
    <w:rsid w:val="00C7449F"/>
    <w:rsid w:val="00C95A49"/>
    <w:rsid w:val="00CA7738"/>
    <w:rsid w:val="00CA7CCF"/>
    <w:rsid w:val="00CB3C8C"/>
    <w:rsid w:val="00CB7ECC"/>
    <w:rsid w:val="00CC7567"/>
    <w:rsid w:val="00CD04D1"/>
    <w:rsid w:val="00CD0532"/>
    <w:rsid w:val="00CD1697"/>
    <w:rsid w:val="00CD33EF"/>
    <w:rsid w:val="00CD782F"/>
    <w:rsid w:val="00CD7E95"/>
    <w:rsid w:val="00CE079D"/>
    <w:rsid w:val="00CE3AC8"/>
    <w:rsid w:val="00CF068F"/>
    <w:rsid w:val="00CF084B"/>
    <w:rsid w:val="00CF0B65"/>
    <w:rsid w:val="00CF6C46"/>
    <w:rsid w:val="00D00A4A"/>
    <w:rsid w:val="00D05461"/>
    <w:rsid w:val="00D06838"/>
    <w:rsid w:val="00D113BF"/>
    <w:rsid w:val="00D22BD9"/>
    <w:rsid w:val="00D314A1"/>
    <w:rsid w:val="00D35731"/>
    <w:rsid w:val="00D36603"/>
    <w:rsid w:val="00D37ACC"/>
    <w:rsid w:val="00D419CD"/>
    <w:rsid w:val="00D430C9"/>
    <w:rsid w:val="00D46C7D"/>
    <w:rsid w:val="00D5126A"/>
    <w:rsid w:val="00D55897"/>
    <w:rsid w:val="00D559B1"/>
    <w:rsid w:val="00D57402"/>
    <w:rsid w:val="00D75A4C"/>
    <w:rsid w:val="00D75D61"/>
    <w:rsid w:val="00D76550"/>
    <w:rsid w:val="00D76FA3"/>
    <w:rsid w:val="00D80150"/>
    <w:rsid w:val="00D806FD"/>
    <w:rsid w:val="00D83355"/>
    <w:rsid w:val="00D855B6"/>
    <w:rsid w:val="00D867E2"/>
    <w:rsid w:val="00D93477"/>
    <w:rsid w:val="00D95797"/>
    <w:rsid w:val="00DA00A4"/>
    <w:rsid w:val="00DA0216"/>
    <w:rsid w:val="00DA1EE0"/>
    <w:rsid w:val="00DA5BF8"/>
    <w:rsid w:val="00DB52DA"/>
    <w:rsid w:val="00DC0048"/>
    <w:rsid w:val="00DC3195"/>
    <w:rsid w:val="00DC3566"/>
    <w:rsid w:val="00DC6A37"/>
    <w:rsid w:val="00DC74F6"/>
    <w:rsid w:val="00DD260D"/>
    <w:rsid w:val="00DD2F3F"/>
    <w:rsid w:val="00DD3C47"/>
    <w:rsid w:val="00DD67C5"/>
    <w:rsid w:val="00DD708E"/>
    <w:rsid w:val="00DD7B1E"/>
    <w:rsid w:val="00DE2714"/>
    <w:rsid w:val="00DE3C49"/>
    <w:rsid w:val="00DF5B81"/>
    <w:rsid w:val="00DF7038"/>
    <w:rsid w:val="00E00237"/>
    <w:rsid w:val="00E0471B"/>
    <w:rsid w:val="00E05651"/>
    <w:rsid w:val="00E15DFB"/>
    <w:rsid w:val="00E2072B"/>
    <w:rsid w:val="00E21079"/>
    <w:rsid w:val="00E23FA1"/>
    <w:rsid w:val="00E30166"/>
    <w:rsid w:val="00E315F2"/>
    <w:rsid w:val="00E3496B"/>
    <w:rsid w:val="00E3781A"/>
    <w:rsid w:val="00E420A9"/>
    <w:rsid w:val="00E43627"/>
    <w:rsid w:val="00E46659"/>
    <w:rsid w:val="00E5331E"/>
    <w:rsid w:val="00E55F73"/>
    <w:rsid w:val="00E61A42"/>
    <w:rsid w:val="00E72626"/>
    <w:rsid w:val="00E74308"/>
    <w:rsid w:val="00E7675E"/>
    <w:rsid w:val="00E876B9"/>
    <w:rsid w:val="00E9075B"/>
    <w:rsid w:val="00E92827"/>
    <w:rsid w:val="00E954A4"/>
    <w:rsid w:val="00EA1F82"/>
    <w:rsid w:val="00EA3965"/>
    <w:rsid w:val="00EA7C65"/>
    <w:rsid w:val="00EB0AE6"/>
    <w:rsid w:val="00EB0F1F"/>
    <w:rsid w:val="00EB1F44"/>
    <w:rsid w:val="00EC1223"/>
    <w:rsid w:val="00EC41F7"/>
    <w:rsid w:val="00EC4559"/>
    <w:rsid w:val="00EC6086"/>
    <w:rsid w:val="00ED7D51"/>
    <w:rsid w:val="00EE1939"/>
    <w:rsid w:val="00EE4C18"/>
    <w:rsid w:val="00EE77AA"/>
    <w:rsid w:val="00EF1485"/>
    <w:rsid w:val="00F023FD"/>
    <w:rsid w:val="00F05BD5"/>
    <w:rsid w:val="00F10857"/>
    <w:rsid w:val="00F12DF9"/>
    <w:rsid w:val="00F158AC"/>
    <w:rsid w:val="00F226DE"/>
    <w:rsid w:val="00F243D1"/>
    <w:rsid w:val="00F25868"/>
    <w:rsid w:val="00F3306A"/>
    <w:rsid w:val="00F419A2"/>
    <w:rsid w:val="00F46EDF"/>
    <w:rsid w:val="00F50B86"/>
    <w:rsid w:val="00F56AC7"/>
    <w:rsid w:val="00F577E0"/>
    <w:rsid w:val="00F64EB2"/>
    <w:rsid w:val="00F77874"/>
    <w:rsid w:val="00F8255A"/>
    <w:rsid w:val="00F82B93"/>
    <w:rsid w:val="00FA4AF7"/>
    <w:rsid w:val="00FB219E"/>
    <w:rsid w:val="00FB784A"/>
    <w:rsid w:val="00FC0BD0"/>
    <w:rsid w:val="00FC1334"/>
    <w:rsid w:val="00FC4B22"/>
    <w:rsid w:val="00FD03C5"/>
    <w:rsid w:val="00FE050F"/>
    <w:rsid w:val="00FF2C4C"/>
    <w:rsid w:val="00FF33B0"/>
    <w:rsid w:val="00FF6852"/>
    <w:rsid w:val="00FF724E"/>
    <w:rsid w:val="00FF74E5"/>
    <w:rsid w:val="060213C1"/>
    <w:rsid w:val="13513B4F"/>
    <w:rsid w:val="165B354C"/>
    <w:rsid w:val="177D4D53"/>
    <w:rsid w:val="26187C4F"/>
    <w:rsid w:val="32CA517F"/>
    <w:rsid w:val="32E13E19"/>
    <w:rsid w:val="370A1F31"/>
    <w:rsid w:val="402367A6"/>
    <w:rsid w:val="432C504E"/>
    <w:rsid w:val="443406BE"/>
    <w:rsid w:val="479B422A"/>
    <w:rsid w:val="4BC35D2A"/>
    <w:rsid w:val="5B470D4C"/>
    <w:rsid w:val="5C4F60C2"/>
    <w:rsid w:val="5F4832D4"/>
    <w:rsid w:val="6D24567D"/>
    <w:rsid w:val="6D4E25F6"/>
    <w:rsid w:val="6E5F3FF6"/>
    <w:rsid w:val="704D7EB7"/>
    <w:rsid w:val="73737DED"/>
    <w:rsid w:val="78424F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4"/>
    <w:qFormat/>
    <w:uiPriority w:val="0"/>
    <w:pPr>
      <w:keepNext/>
      <w:keepLines/>
      <w:spacing w:before="120" w:after="120"/>
      <w:ind w:firstLine="200" w:firstLineChars="200"/>
      <w:outlineLvl w:val="1"/>
    </w:pPr>
    <w:rPr>
      <w:rFonts w:ascii="Cambria" w:hAnsi="Cambria" w:eastAsia="黑体" w:cs="Times New Roman"/>
      <w:bCs/>
      <w:sz w:val="32"/>
      <w:szCs w:val="32"/>
    </w:rPr>
  </w:style>
  <w:style w:type="paragraph" w:styleId="3">
    <w:name w:val="heading 3"/>
    <w:basedOn w:val="1"/>
    <w:next w:val="1"/>
    <w:link w:val="25"/>
    <w:qFormat/>
    <w:uiPriority w:val="0"/>
    <w:pPr>
      <w:keepNext/>
      <w:widowControl/>
      <w:spacing w:before="240" w:after="60"/>
      <w:ind w:firstLine="200" w:firstLineChars="200"/>
      <w:jc w:val="left"/>
      <w:outlineLvl w:val="2"/>
    </w:pPr>
    <w:rPr>
      <w:rFonts w:ascii="宋体" w:hAnsi="宋体" w:eastAsia="黑体" w:cs="Times New Roman"/>
      <w:bCs/>
      <w:kern w:val="0"/>
      <w:sz w:val="32"/>
      <w:szCs w:val="26"/>
      <w:lang w:eastAsia="en-US" w:bidi="en-US"/>
    </w:rPr>
  </w:style>
  <w:style w:type="paragraph" w:styleId="4">
    <w:name w:val="heading 4"/>
    <w:basedOn w:val="1"/>
    <w:next w:val="1"/>
    <w:link w:val="26"/>
    <w:qFormat/>
    <w:uiPriority w:val="0"/>
    <w:pPr>
      <w:keepNext/>
      <w:widowControl/>
      <w:spacing w:before="240" w:after="60"/>
      <w:ind w:firstLine="200" w:firstLineChars="200"/>
      <w:jc w:val="left"/>
      <w:outlineLvl w:val="3"/>
    </w:pPr>
    <w:rPr>
      <w:rFonts w:ascii="Calibri" w:hAnsi="Calibri" w:eastAsia="仿宋" w:cs="Times New Roman"/>
      <w:b/>
      <w:bCs/>
      <w:kern w:val="0"/>
      <w:sz w:val="32"/>
      <w:szCs w:val="28"/>
      <w:lang w:eastAsia="en-US" w:bidi="en-US"/>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9"/>
    <w:unhideWhenUsed/>
    <w:qFormat/>
    <w:uiPriority w:val="0"/>
    <w:pPr>
      <w:jc w:val="left"/>
    </w:pPr>
  </w:style>
  <w:style w:type="paragraph" w:styleId="6">
    <w:name w:val="Body Text"/>
    <w:basedOn w:val="1"/>
    <w:link w:val="23"/>
    <w:semiHidden/>
    <w:unhideWhenUsed/>
    <w:qFormat/>
    <w:uiPriority w:val="99"/>
    <w:pPr>
      <w:spacing w:after="120"/>
    </w:pPr>
  </w:style>
  <w:style w:type="paragraph" w:styleId="7">
    <w:name w:val="Body Text Indent 2"/>
    <w:basedOn w:val="1"/>
    <w:link w:val="22"/>
    <w:qFormat/>
    <w:uiPriority w:val="0"/>
    <w:pPr>
      <w:snapToGrid w:val="0"/>
      <w:spacing w:line="360" w:lineRule="auto"/>
      <w:ind w:firstLine="560" w:firstLineChars="200"/>
      <w:jc w:val="left"/>
    </w:pPr>
    <w:rPr>
      <w:rFonts w:ascii="仿宋_GB2312" w:hAnsi="Calibri" w:eastAsia="仿宋_GB2312" w:cs="Times New Roman"/>
      <w:sz w:val="28"/>
      <w:szCs w:val="24"/>
    </w:rPr>
  </w:style>
  <w:style w:type="paragraph" w:styleId="8">
    <w:name w:val="Balloon Text"/>
    <w:basedOn w:val="1"/>
    <w:link w:val="27"/>
    <w:semiHidden/>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basedOn w:val="14"/>
    <w:qFormat/>
    <w:uiPriority w:val="0"/>
  </w:style>
  <w:style w:type="character" w:styleId="17">
    <w:name w:val="FollowedHyperlink"/>
    <w:basedOn w:val="14"/>
    <w:semiHidden/>
    <w:unhideWhenUsed/>
    <w:qFormat/>
    <w:uiPriority w:val="99"/>
    <w:rPr>
      <w:color w:val="800080" w:themeColor="followedHyperlink"/>
      <w:u w:val="single"/>
    </w:rPr>
  </w:style>
  <w:style w:type="character" w:styleId="18">
    <w:name w:val="Hyperlink"/>
    <w:basedOn w:val="14"/>
    <w:unhideWhenUsed/>
    <w:qFormat/>
    <w:uiPriority w:val="99"/>
    <w:rPr>
      <w:color w:val="0000FF" w:themeColor="hyperlink"/>
      <w:u w:val="single"/>
    </w:rPr>
  </w:style>
  <w:style w:type="character" w:styleId="19">
    <w:name w:val="annotation reference"/>
    <w:basedOn w:val="14"/>
    <w:unhideWhenUsed/>
    <w:qFormat/>
    <w:uiPriority w:val="0"/>
    <w:rPr>
      <w:sz w:val="21"/>
      <w:szCs w:val="21"/>
    </w:rPr>
  </w:style>
  <w:style w:type="character" w:customStyle="1" w:styleId="20">
    <w:name w:val="页眉 Char"/>
    <w:basedOn w:val="14"/>
    <w:link w:val="10"/>
    <w:qFormat/>
    <w:uiPriority w:val="99"/>
    <w:rPr>
      <w:sz w:val="18"/>
      <w:szCs w:val="18"/>
    </w:rPr>
  </w:style>
  <w:style w:type="character" w:customStyle="1" w:styleId="21">
    <w:name w:val="页脚 Char"/>
    <w:basedOn w:val="14"/>
    <w:link w:val="9"/>
    <w:qFormat/>
    <w:uiPriority w:val="99"/>
    <w:rPr>
      <w:sz w:val="18"/>
      <w:szCs w:val="18"/>
    </w:rPr>
  </w:style>
  <w:style w:type="character" w:customStyle="1" w:styleId="22">
    <w:name w:val="正文文本缩进 2 Char"/>
    <w:basedOn w:val="14"/>
    <w:link w:val="7"/>
    <w:qFormat/>
    <w:uiPriority w:val="0"/>
    <w:rPr>
      <w:rFonts w:ascii="仿宋_GB2312" w:hAnsi="Calibri" w:eastAsia="仿宋_GB2312" w:cs="Times New Roman"/>
      <w:sz w:val="28"/>
      <w:szCs w:val="24"/>
    </w:rPr>
  </w:style>
  <w:style w:type="character" w:customStyle="1" w:styleId="23">
    <w:name w:val="正文文本 Char"/>
    <w:basedOn w:val="14"/>
    <w:link w:val="6"/>
    <w:semiHidden/>
    <w:qFormat/>
    <w:uiPriority w:val="99"/>
  </w:style>
  <w:style w:type="character" w:customStyle="1" w:styleId="24">
    <w:name w:val="标题 2 Char"/>
    <w:basedOn w:val="14"/>
    <w:link w:val="2"/>
    <w:qFormat/>
    <w:uiPriority w:val="0"/>
    <w:rPr>
      <w:rFonts w:ascii="Cambria" w:hAnsi="Cambria" w:eastAsia="黑体" w:cs="Times New Roman"/>
      <w:bCs/>
      <w:sz w:val="32"/>
      <w:szCs w:val="32"/>
    </w:rPr>
  </w:style>
  <w:style w:type="character" w:customStyle="1" w:styleId="25">
    <w:name w:val="标题 3 Char"/>
    <w:basedOn w:val="14"/>
    <w:link w:val="3"/>
    <w:qFormat/>
    <w:uiPriority w:val="0"/>
    <w:rPr>
      <w:rFonts w:ascii="宋体" w:hAnsi="宋体" w:eastAsia="黑体" w:cs="Times New Roman"/>
      <w:bCs/>
      <w:kern w:val="0"/>
      <w:sz w:val="32"/>
      <w:szCs w:val="26"/>
      <w:lang w:eastAsia="en-US" w:bidi="en-US"/>
    </w:rPr>
  </w:style>
  <w:style w:type="character" w:customStyle="1" w:styleId="26">
    <w:name w:val="标题 4 Char"/>
    <w:basedOn w:val="14"/>
    <w:link w:val="4"/>
    <w:qFormat/>
    <w:uiPriority w:val="0"/>
    <w:rPr>
      <w:rFonts w:ascii="Calibri" w:hAnsi="Calibri" w:eastAsia="仿宋" w:cs="Times New Roman"/>
      <w:b/>
      <w:bCs/>
      <w:kern w:val="0"/>
      <w:sz w:val="32"/>
      <w:szCs w:val="28"/>
      <w:lang w:eastAsia="en-US" w:bidi="en-US"/>
    </w:rPr>
  </w:style>
  <w:style w:type="character" w:customStyle="1" w:styleId="27">
    <w:name w:val="批注框文本 Char"/>
    <w:basedOn w:val="14"/>
    <w:link w:val="8"/>
    <w:semiHidden/>
    <w:qFormat/>
    <w:uiPriority w:val="99"/>
    <w:rPr>
      <w:sz w:val="18"/>
      <w:szCs w:val="18"/>
    </w:rPr>
  </w:style>
  <w:style w:type="paragraph" w:styleId="28">
    <w:name w:val="List Paragraph"/>
    <w:basedOn w:val="1"/>
    <w:qFormat/>
    <w:uiPriority w:val="34"/>
    <w:pPr>
      <w:ind w:firstLine="420" w:firstLineChars="200"/>
    </w:pPr>
  </w:style>
  <w:style w:type="character" w:customStyle="1" w:styleId="29">
    <w:name w:val="批注文字 Char"/>
    <w:basedOn w:val="14"/>
    <w:link w:val="5"/>
    <w:qFormat/>
    <w:uiPriority w:val="0"/>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22AB20-A8A1-4A17-AAA2-863E646AF0C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15</Pages>
  <Words>1051</Words>
  <Characters>5994</Characters>
  <Lines>49</Lines>
  <Paragraphs>14</Paragraphs>
  <TotalTime>10</TotalTime>
  <ScaleCrop>false</ScaleCrop>
  <LinksUpToDate>false</LinksUpToDate>
  <CharactersWithSpaces>7031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2020-05-20T07:29:00Z</dcterms:created>
  <dc:creator>Sky123.Org</dc:creator>
  <cp:lastModifiedBy>艺学艺通</cp:lastModifiedBy>
  <cp:lastPrinted>2020-03-12T08:34:00Z</cp:lastPrinted>
  <dcterms:modified xsi:type="dcterms:W3CDTF">2020-06-05T07:39:47Z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